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endnotes.xml" ContentType="application/vnd.openxmlformats-officedocument.wordprocessingml.endnote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hd w:val="nil" w:color="000000"/>
        <w:rPr>
          <w:sz w:val="32"/>
          <w:szCs w:val="32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  <w:r/>
    </w:p>
    <w:p>
      <w:pPr>
        <w:jc w:val="center"/>
        <w:shd w:val="nil" w:color="000000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  <w:r/>
    </w:p>
    <w:p>
      <w:pPr>
        <w:jc w:val="center"/>
        <w:shd w:val="nil" w:color="000000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  <w:r/>
    </w:p>
    <w:p>
      <w:pPr>
        <w:jc w:val="center"/>
        <w:shd w:val="nil" w:color="000000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  <w:r/>
    </w:p>
    <w:p>
      <w:pPr>
        <w:pStyle w:val="1807"/>
        <w:jc w:val="center"/>
        <w:rPr>
          <w:b/>
          <w:bCs/>
          <w:sz w:val="48"/>
          <w:szCs w:val="48"/>
        </w:rPr>
        <w:suppressLineNumbers w:val="0"/>
      </w:pPr>
      <w:r>
        <w:rPr>
          <w:highlight w:val="none"/>
        </w:rPr>
      </w:r>
      <w:r>
        <w:rPr>
          <w:highlight w:val="none"/>
        </w:rPr>
      </w:r>
    </w:p>
    <w:p>
      <w:pPr>
        <w:pStyle w:val="1807"/>
        <w:jc w:val="center"/>
        <w:rPr>
          <w:highlight w:val="none"/>
        </w:rPr>
        <w:suppressLineNumbers w:val="0"/>
      </w:pPr>
      <w:r/>
      <w:bookmarkStart w:id="1" w:name="_Toc1"/>
      <w:r>
        <w:rPr>
          <w:b/>
          <w:bCs/>
          <w:sz w:val="48"/>
          <w:szCs w:val="48"/>
          <w:highlight w:val="none"/>
        </w:rPr>
        <w:t xml:space="preserve">PRVI DEO</w:t>
      </w:r>
      <w:r>
        <w:br/>
      </w:r>
      <w:r>
        <w:rPr>
          <w:b/>
          <w:bCs/>
          <w:sz w:val="48"/>
          <w:szCs w:val="48"/>
        </w:rPr>
        <w:t xml:space="preserve">Analiza 100 najvećih pravnih lica u Novom Pazaru (po prometu) </w:t>
      </w:r>
      <w:r>
        <w:br/>
      </w:r>
      <w:r>
        <w:rPr>
          <w:b/>
          <w:bCs/>
          <w:sz w:val="48"/>
          <w:szCs w:val="48"/>
        </w:rPr>
        <w:t xml:space="preserve">(podaci na dan 31.12.2024. godine)</w:t>
      </w:r>
      <w:r/>
      <w:bookmarkEnd w:id="1"/>
      <w:r/>
      <w:r>
        <w:rPr>
          <w:b/>
          <w:bCs/>
          <w:sz w:val="48"/>
          <w:szCs w:val="48"/>
        </w:rPr>
      </w:r>
    </w:p>
    <w:p>
      <w:pPr>
        <w:jc w:val="center"/>
        <w:shd w:val="nil" w:color="000000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  <w:r/>
    </w:p>
    <w:p>
      <w:pPr>
        <w:shd w:val="nil" w:color="auto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  <w:br w:type="page" w:clear="all"/>
      </w:r>
      <w:r>
        <w:rPr>
          <w:sz w:val="32"/>
          <w:szCs w:val="32"/>
          <w:highlight w:val="none"/>
        </w:rPr>
      </w:r>
      <w:r/>
    </w:p>
    <w:p>
      <w:pPr>
        <w:contextualSpacing w:val="0"/>
        <w:jc w:val="left"/>
        <w:spacing w:before="0" w:after="0" w:line="283" w:lineRule="atLeast"/>
        <w:shd w:val="nil" w:color="000000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  <w:r/>
    </w:p>
    <w:p>
      <w:pPr>
        <w:contextualSpacing w:val="0"/>
        <w:jc w:val="left"/>
        <w:spacing w:before="0" w:after="0" w:line="283" w:lineRule="atLeast"/>
        <w:shd w:val="nil" w:color="000000"/>
        <w:rPr>
          <w:b/>
          <w:bCs/>
          <w:sz w:val="32"/>
          <w:szCs w:val="32"/>
          <w:highlight w:val="none"/>
        </w:rPr>
        <w:suppressLineNumbers w:val="0"/>
      </w:pPr>
      <w:r>
        <w:rPr>
          <w:b/>
          <w:bCs/>
          <w:sz w:val="32"/>
          <w:szCs w:val="32"/>
          <w:highlight w:val="none"/>
        </w:rPr>
        <w:t xml:space="preserve">Ključni nalazi</w:t>
      </w:r>
      <w:r>
        <w:rPr>
          <w:b/>
          <w:bCs/>
        </w:rPr>
      </w:r>
      <w:r/>
    </w:p>
    <w:p>
      <w:pPr>
        <w:contextualSpacing w:val="0"/>
        <w:jc w:val="left"/>
        <w:spacing w:before="0" w:after="0" w:line="283" w:lineRule="atLeast"/>
        <w:shd w:val="nil" w:color="000000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  <w:r/>
    </w:p>
    <w:p>
      <w:p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nastavu je sažeti pregled ključnih pokazatelja za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100 najvećih preduzeća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 Novom Pazaru, Čačku i Kraljevu: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Novi Pazar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39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Ukupan broj zaposlenih: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3.437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39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Prosečan broj zaposlenih po preduzeću: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34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39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Ukupan promet: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447.035.003 EUR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39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Prosečan promet po preduzeću: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4.470.350 EUR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39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Ukupna neto dobit: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16.456.168 EUR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39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Prosečna neto dobit po preduzeću: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164.562 EUR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Čačak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40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Ukupan broj zaposlenih: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12.043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40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Prosečan broj zaposlenih po preduzeću: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120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40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Ukupan promet: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1.726.224.228 EUR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40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Prosečan promet po preduzeću: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17.262.242 EUR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40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Ukupna neto dobit: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63.583.675 EUR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40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Prosečna neto dobit po preduzeću: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635.837 EUR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 w:line="283" w:lineRule="atLeast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Kraljevo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41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Ukupan broj zaposlenih: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7.220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41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Prosečan broj zaposlenih po preduzeću: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72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41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Ukupan promet: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850.624.604 EUR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41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Prosečan promet po preduzeću: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8.506.246 EUR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41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Ukupna neto dobit: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32.844.430 EUR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41"/>
        </w:numPr>
        <w:contextualSpacing w:val="0"/>
        <w:jc w:val="both"/>
        <w:spacing w:before="0" w:after="0" w:line="283" w:lineRule="atLeast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Prosečna neto dobit po preduzeću: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328.444 EUR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Ovi podaci jasno pokazuju razlike u strukturi privrede tri grada.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/>
    </w:p>
    <w:p>
      <w:pPr>
        <w:pStyle w:val="1987"/>
        <w:numPr>
          <w:ilvl w:val="0"/>
          <w:numId w:val="542"/>
        </w:num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Čačak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se ističe kao grad sa najvećim ukupnim prometom i dobiti, kao i najvišim prosečnim prometom i dobiti po preduzeću, što ukazuje na prisustvo većih i stabilnijih industrijskih sistema.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/>
    </w:p>
    <w:p>
      <w:pPr>
        <w:pStyle w:val="1987"/>
        <w:numPr>
          <w:ilvl w:val="0"/>
          <w:numId w:val="542"/>
        </w:num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Kraljevo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zauzima srednju poziciju sa solidnim obimom prometa i dobiti, ali sa prosečno manjim preduzećima u odnosu na Čačak.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/>
    </w:p>
    <w:p>
      <w:pPr>
        <w:pStyle w:val="1987"/>
        <w:numPr>
          <w:ilvl w:val="0"/>
          <w:numId w:val="542"/>
        </w:num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Novi Pazar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iako ima najniže ukupne vrednosti, pokazuje dinamičnu strukturu sa velikim brojem manjih firmi, posebno u sektorima trgovine, građevinarstva i proizvodnje nameštaja i tekstila. Ovo potvrđuje da je privreda Novog Pazara fleksibilna i zasnovana na velikom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broju manjih preduzeća, dok su Čačak i Kraljevo više orijentisani ka industrijskim gigantima i većim sistemima.</w:t>
      </w:r>
      <w:r/>
    </w:p>
    <w:p>
      <w:pPr>
        <w:contextualSpacing w:val="0"/>
        <w:ind w:left="0" w:firstLine="0"/>
        <w:jc w:val="both"/>
        <w:spacing w:before="0" w:after="0" w:line="283" w:lineRule="atLeast"/>
        <w:rPr>
          <w:highlight w:val="none"/>
        </w:rPr>
        <w:suppressLineNumbers w:val="0"/>
      </w:pPr>
      <w:r>
        <w:rPr>
          <w:b/>
          <w:bCs/>
          <w:highlight w:val="none"/>
          <w:u w:val="single"/>
        </w:rPr>
      </w:r>
      <w:r>
        <w:rPr>
          <w:b/>
          <w:bCs/>
          <w:highlight w:val="none"/>
          <w:u w:val="single"/>
        </w:rPr>
      </w:r>
      <w:r/>
    </w:p>
    <w:p>
      <w:pPr>
        <w:contextualSpacing w:val="0"/>
        <w:ind w:left="0" w:firstLine="0"/>
        <w:jc w:val="both"/>
        <w:spacing w:before="0" w:after="0" w:line="283" w:lineRule="atLeast"/>
        <w:rPr>
          <w:b/>
          <w:bCs/>
          <w:highlight w:val="none"/>
          <w:u w:val="single"/>
        </w:rPr>
        <w:suppressLineNumbers w:val="0"/>
      </w:pPr>
      <w:r>
        <w:rPr>
          <w:b/>
          <w:bCs/>
          <w:highlight w:val="none"/>
          <w:u w:val="single"/>
        </w:rPr>
        <w:t xml:space="preserve">Zanimljivosti: </w:t>
      </w:r>
      <w:r>
        <w:rPr>
          <w:highlight w:val="none"/>
        </w:rPr>
      </w:r>
      <w:r/>
    </w:p>
    <w:p>
      <w:pPr>
        <w:pStyle w:val="1987"/>
        <w:numPr>
          <w:ilvl w:val="0"/>
          <w:numId w:val="542"/>
        </w:numPr>
        <w:contextualSpacing w:val="0"/>
        <w:jc w:val="both"/>
        <w:spacing w:before="0" w:after="0" w:line="283" w:lineRule="atLeast"/>
        <w:rPr>
          <w:b/>
          <w:bCs/>
        </w:rPr>
        <w:suppressLineNumbers w:val="0"/>
      </w:pPr>
      <w:r>
        <w:rPr>
          <w:b/>
          <w:bCs/>
          <w:highlight w:val="none"/>
        </w:rPr>
        <w:t xml:space="preserve">Više radnika radi u 4 najveća preduzeća u Čačku nego u svih 100 najvećih preduzeća u Novom Pazaru.</w:t>
      </w:r>
      <w:r>
        <w:rPr>
          <w:b/>
          <w:bCs/>
          <w:highlight w:val="none"/>
        </w:rPr>
      </w:r>
      <w:r/>
    </w:p>
    <w:p>
      <w:pPr>
        <w:pStyle w:val="1987"/>
        <w:numPr>
          <w:ilvl w:val="0"/>
          <w:numId w:val="542"/>
        </w:num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b/>
          <w:bCs/>
          <w:highlight w:val="none"/>
        </w:rPr>
        <w:t xml:space="preserve">Više zapošljava “Sloboda” ad Čačak nego 13 najvećih preduzeća u Novom Pazaru zajedno</w:t>
      </w:r>
      <w:r>
        <w:rPr>
          <w:b/>
          <w:bCs/>
          <w:highlight w:val="none"/>
        </w:rPr>
        <w:t xml:space="preserve">.</w:t>
      </w:r>
      <w:r>
        <w:rPr>
          <w:b/>
          <w:bCs/>
          <w:highlight w:val="none"/>
        </w:rPr>
      </w:r>
      <w:r/>
    </w:p>
    <w:p>
      <w:pPr>
        <w:shd w:val="nil" w:color="000000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  <w:r/>
    </w:p>
    <w:p>
      <w:pPr>
        <w:shd w:val="nil" w:color="000000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  <w:r/>
    </w:p>
    <w:p>
      <w:pPr>
        <w:shd w:val="nil" w:color="000000"/>
        <w:tabs>
          <w:tab w:val="center" w:pos="4464" w:leader="none"/>
        </w:tabs>
        <w:rPr>
          <w:sz w:val="32"/>
          <w:szCs w:val="32"/>
          <w:highlight w:val="none"/>
        </w:rPr>
        <w:suppressLineNumbers w:val="0"/>
      </w:pPr>
      <w:r>
        <w:rPr>
          <w:b/>
          <w:bCs/>
          <w:sz w:val="32"/>
          <w:szCs w:val="32"/>
          <w:highlight w:val="none"/>
        </w:rPr>
        <w:t xml:space="preserve">Sadržaj:</w:t>
      </w:r>
      <w:r>
        <w:rPr>
          <w:sz w:val="32"/>
          <w:szCs w:val="32"/>
          <w:highlight w:val="none"/>
        </w:rPr>
        <w:tab/>
      </w:r>
      <w:r>
        <w:rPr>
          <w:sz w:val="32"/>
          <w:szCs w:val="32"/>
          <w:highlight w:val="none"/>
        </w:rPr>
      </w:r>
      <w:r/>
    </w:p>
    <w:p>
      <w:pPr>
        <w:shd w:val="nil" w:color="000000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  <w:r/>
    </w:p>
    <w:sdt>
      <w:sdtPr>
        <w15:appearance w15:val="boundingBox"/>
        <w:placeholder>
          <w:docPart w:val="DefaultPlaceholder_TEXT"/>
        </w:placeholder>
        <w:docPartObj>
          <w:docPartGallery w:val="Table of Contents"/>
          <w:docPartUnique w:val="true"/>
        </w:docPartObj>
        <w:rPr>
          <w:sz w:val="32"/>
          <w:szCs w:val="32"/>
          <w:highlight w:val="none"/>
        </w:rPr>
      </w:sdtPr>
      <w:sdtContent>
        <w:p>
          <w:pPr>
            <w:pStyle w:val="1972"/>
            <w:tabs>
              <w:tab w:val="right" w:pos="8929" w:leader="dot"/>
            </w:tabs>
            <w:rPr>
              <w:highlight w:val="none"/>
            </w:rPr>
            <w:suppressLineNumbers w:val="0"/>
          </w:pPr>
          <w:r>
            <w:rPr>
              <w:sz w:val="32"/>
              <w:szCs w:val="32"/>
              <w:highlight w:val="none"/>
            </w:rPr>
          </w:r>
          <w:r>
            <w:fldChar w:fldCharType="begin"/>
            <w:instrText xml:space="preserve">TOC \o "1-9" \h </w:instrText>
            <w:fldChar w:fldCharType="separate"/>
          </w:r>
          <w:r>
            <w:rPr>
              <w:sz w:val="32"/>
              <w:szCs w:val="32"/>
              <w:highlight w:val="none"/>
            </w:rPr>
          </w:r>
          <w:hyperlink w:tooltip="#_Toc1" w:anchor="_Toc1" w:history="1">
            <w:r>
              <w:rPr>
                <w:rStyle w:val="1965"/>
              </w:rPr>
            </w:r>
            <w:r>
              <w:rPr>
                <w:rStyle w:val="1965"/>
                <w:b/>
                <w:bCs/>
                <w:highlight w:val="none"/>
              </w:rPr>
              <w:t xml:space="preserve">PRVI DEO</w:t>
            </w:r>
            <w:r>
              <w:rPr>
                <w:rStyle w:val="1965"/>
              </w:rPr>
              <w:t xml:space="preserve"> </w:t>
            </w:r>
            <w:r>
              <w:rPr>
                <w:rStyle w:val="1965"/>
                <w:b/>
                <w:bCs/>
              </w:rPr>
              <w:t xml:space="preserve">Analiza 100 najvećih pravnih lica u Novom Pazaru (po prometu) </w:t>
            </w:r>
            <w:r>
              <w:rPr>
                <w:rStyle w:val="1965"/>
              </w:rPr>
              <w:t xml:space="preserve"> </w:t>
            </w:r>
            <w:r>
              <w:rPr>
                <w:rStyle w:val="1965"/>
                <w:b/>
                <w:bCs/>
              </w:rPr>
              <w:t xml:space="preserve">(podaci na dan 31.12.2024. godine)</w:t>
            </w:r>
            <w:r>
              <w:rPr>
                <w:rStyle w:val="1965"/>
                <w:b/>
                <w:bCs/>
              </w:rPr>
            </w:r>
            <w:r>
              <w:tab/>
            </w:r>
            <w:r>
              <w:fldChar w:fldCharType="begin"/>
              <w:instrText xml:space="preserve">PAGEREF _Toc1 \h</w:instrText>
              <w:fldChar w:fldCharType="separate"/>
              <w:t xml:space="preserve">1</w:t>
              <w:fldChar w:fldCharType="end"/>
            </w:r>
          </w:hyperlink>
          <w:r>
            <w:rPr>
              <w:highlight w:val="none"/>
            </w:rPr>
          </w:r>
        </w:p>
        <w:p>
          <w:pPr>
            <w:pStyle w:val="1972"/>
            <w:tabs>
              <w:tab w:val="left" w:pos="658" w:leader="none"/>
              <w:tab w:val="right" w:pos="8929" w:leader="dot"/>
            </w:tabs>
            <w:rPr>
              <w:highlight w:val="none"/>
            </w:rPr>
            <w:suppressLineNumbers w:val="0"/>
          </w:pPr>
          <w:hyperlink w:tooltip="#_Toc2" w:anchor="_Toc2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Uvod</w:t>
            </w:r>
            <w:r>
              <w:rPr>
                <w:rStyle w:val="1965"/>
              </w:rPr>
              <w:tab/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_Toc2 \h</w:instrText>
              <w:fldChar w:fldCharType="separate"/>
              <w:t xml:space="preserve">6</w:t>
              <w:fldChar w:fldCharType="end"/>
            </w:r>
          </w:hyperlink>
          <w:r>
            <w:rPr>
              <w:highlight w:val="none"/>
            </w:rPr>
          </w:r>
        </w:p>
        <w:p>
          <w:pPr>
            <w:pStyle w:val="1972"/>
            <w:tabs>
              <w:tab w:val="right" w:pos="8929" w:leader="dot"/>
            </w:tabs>
            <w:suppressLineNumbers w:val="0"/>
          </w:pPr>
          <w:hyperlink w:tooltip="#_Toc3" w:anchor="_Toc3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1. Građevinska industrija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_Toc3 \h</w:instrText>
              <w:fldChar w:fldCharType="separate"/>
              <w:t xml:space="preserve">11</w:t>
              <w:fldChar w:fldCharType="end"/>
            </w:r>
          </w:hyperlink>
          <w:r/>
        </w:p>
        <w:p>
          <w:pPr>
            <w:pStyle w:val="1972"/>
            <w:tabs>
              <w:tab w:val="right" w:pos="8929" w:leader="dot"/>
            </w:tabs>
            <w:suppressLineNumbers w:val="0"/>
          </w:pPr>
          <w:hyperlink w:tooltip="#_Toc4" w:anchor="_Toc4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2. Javna komunalna preduzeća (JKP)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_Toc4 \h</w:instrText>
              <w:fldChar w:fldCharType="separate"/>
              <w:t xml:space="preserve">14</w:t>
              <w:fldChar w:fldCharType="end"/>
            </w:r>
          </w:hyperlink>
          <w:r/>
        </w:p>
        <w:p>
          <w:pPr>
            <w:pStyle w:val="1972"/>
            <w:tabs>
              <w:tab w:val="right" w:pos="8929" w:leader="dot"/>
            </w:tabs>
            <w:suppressLineNumbers w:val="0"/>
          </w:pPr>
          <w:hyperlink w:tooltip="#_Toc5" w:anchor="_Toc5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4. Trgovina na veliko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_Toc5 \h</w:instrText>
              <w:fldChar w:fldCharType="separate"/>
              <w:t xml:space="preserve">18</w:t>
              <w:fldChar w:fldCharType="end"/>
            </w:r>
          </w:hyperlink>
          <w:r/>
        </w:p>
        <w:p>
          <w:pPr>
            <w:pStyle w:val="1972"/>
            <w:tabs>
              <w:tab w:val="right" w:pos="8929" w:leader="dot"/>
            </w:tabs>
            <w:suppressLineNumbers w:val="0"/>
          </w:pPr>
          <w:hyperlink w:tooltip="#_Toc6" w:anchor="_Toc6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5. Drumski prevoz tereta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_Toc6 \h</w:instrText>
              <w:fldChar w:fldCharType="separate"/>
              <w:t xml:space="preserve">22</w:t>
              <w:fldChar w:fldCharType="end"/>
            </w:r>
          </w:hyperlink>
          <w:r/>
        </w:p>
        <w:p>
          <w:pPr>
            <w:pStyle w:val="1972"/>
            <w:tabs>
              <w:tab w:val="right" w:pos="8929" w:leader="dot"/>
            </w:tabs>
            <w:suppressLineNumbers w:val="0"/>
          </w:pPr>
          <w:hyperlink w:tooltip="#_Toc7" w:anchor="_Toc7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6. Trgovina na malo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_Toc7 \h</w:instrText>
              <w:fldChar w:fldCharType="separate"/>
              <w:t xml:space="preserve">25</w:t>
              <w:fldChar w:fldCharType="end"/>
            </w:r>
          </w:hyperlink>
          <w:r/>
        </w:p>
        <w:p>
          <w:pPr>
            <w:pStyle w:val="1972"/>
            <w:tabs>
              <w:tab w:val="right" w:pos="8929" w:leader="dot"/>
            </w:tabs>
            <w:suppressLineNumbers w:val="0"/>
          </w:pPr>
          <w:hyperlink w:tooltip="#_Toc8" w:anchor="_Toc8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7. Proizvodnja odeće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_Toc8 \h</w:instrText>
              <w:fldChar w:fldCharType="separate"/>
              <w:t xml:space="preserve">28</w:t>
              <w:fldChar w:fldCharType="end"/>
            </w:r>
          </w:hyperlink>
          <w:r/>
        </w:p>
        <w:p>
          <w:pPr>
            <w:pStyle w:val="1972"/>
            <w:tabs>
              <w:tab w:val="right" w:pos="8929" w:leader="dot"/>
            </w:tabs>
            <w:rPr>
              <w:rFonts w:ascii="Times New Roman" w:hAnsi="Times New Roman" w:eastAsia="Times New Roman" w:cs="Times New Roman"/>
              <w:b/>
              <w:bCs/>
              <w:highlight w:val="none"/>
            </w:rPr>
            <w:suppressLineNumbers w:val="0"/>
          </w:pPr>
          <w:hyperlink w:tooltip="#_Toc9" w:anchor="_Toc9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8. Ostalo ustupanje ljudskih resursa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_Toc9 \h</w:instrText>
              <w:fldChar w:fldCharType="separate"/>
              <w:t xml:space="preserve">30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/>
              <w:bCs/>
              <w:highlight w:val="none"/>
            </w:rPr>
          </w:r>
        </w:p>
        <w:p>
          <w:pPr>
            <w:pStyle w:val="1972"/>
            <w:tabs>
              <w:tab w:val="right" w:pos="8929" w:leader="dot"/>
            </w:tabs>
            <w:suppressLineNumbers w:val="0"/>
          </w:pPr>
          <w:hyperlink w:tooltip="#_Toc10" w:anchor="_Toc10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9. Rezanje i obrada drveta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_Toc10 \h</w:instrText>
              <w:fldChar w:fldCharType="separate"/>
              <w:t xml:space="preserve">31</w:t>
              <w:fldChar w:fldCharType="end"/>
            </w:r>
          </w:hyperlink>
          <w:r/>
        </w:p>
        <w:p>
          <w:pPr>
            <w:pStyle w:val="1972"/>
            <w:tabs>
              <w:tab w:val="right" w:pos="8929" w:leader="dot"/>
            </w:tabs>
            <w:suppressLineNumbers w:val="0"/>
          </w:pPr>
          <w:hyperlink w:tooltip="#_Toc11" w:anchor="_Toc11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10. Proizvodnja hrane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_Toc11 \h</w:instrText>
              <w:fldChar w:fldCharType="separate"/>
              <w:t xml:space="preserve">33</w:t>
              <w:fldChar w:fldCharType="end"/>
            </w:r>
          </w:hyperlink>
          <w:r/>
        </w:p>
        <w:p>
          <w:pPr>
            <w:pStyle w:val="1972"/>
            <w:tabs>
              <w:tab w:val="right" w:pos="8929" w:leader="dot"/>
            </w:tabs>
            <w:suppressLineNumbers w:val="0"/>
          </w:pPr>
          <w:hyperlink w:tooltip="#_Toc12" w:anchor="_Toc12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11. Prevoz putnika u drumskom saobraćaju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_Toc12 \h</w:instrText>
              <w:fldChar w:fldCharType="separate"/>
              <w:t xml:space="preserve">35</w:t>
              <w:fldChar w:fldCharType="end"/>
            </w:r>
          </w:hyperlink>
          <w:r/>
        </w:p>
        <w:p>
          <w:pPr>
            <w:pStyle w:val="1972"/>
            <w:tabs>
              <w:tab w:val="right" w:pos="8929" w:leader="dot"/>
            </w:tabs>
            <w:suppressLineNumbers w:val="0"/>
          </w:pPr>
          <w:hyperlink w:tooltip="#_Toc13" w:anchor="_Toc13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12. Održavanje i trgovina automobilima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_Toc13 \h</w:instrText>
              <w:fldChar w:fldCharType="separate"/>
              <w:t xml:space="preserve">37</w:t>
              <w:fldChar w:fldCharType="end"/>
            </w:r>
          </w:hyperlink>
          <w:r/>
        </w:p>
        <w:p>
          <w:pPr>
            <w:pStyle w:val="1972"/>
            <w:tabs>
              <w:tab w:val="right" w:pos="8929" w:leader="dot"/>
            </w:tabs>
            <w:rPr>
              <w:rFonts w:ascii="Times New Roman" w:hAnsi="Times New Roman" w:eastAsia="Times New Roman" w:cs="Times New Roman"/>
              <w:b/>
              <w:bCs/>
              <w:highlight w:val="none"/>
            </w:rPr>
            <w:suppressLineNumbers w:val="0"/>
          </w:pPr>
          <w:hyperlink w:tooltip="#_Toc14" w:anchor="_Toc14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13. Tehničko ispitivanje i analize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_Toc14 \h</w:instrText>
              <w:fldChar w:fldCharType="separate"/>
              <w:t xml:space="preserve">39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/>
              <w:bCs/>
              <w:highlight w:val="none"/>
            </w:rPr>
          </w:r>
        </w:p>
        <w:p>
          <w:pPr>
            <w:pStyle w:val="1972"/>
            <w:tabs>
              <w:tab w:val="right" w:pos="8929" w:leader="dot"/>
            </w:tabs>
            <w:suppressLineNumbers w:val="0"/>
          </w:pPr>
          <w:hyperlink w:tooltip="#_Toc15" w:anchor="_Toc15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14. Proizvodnja opreme za osvetljenje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_Toc15 \h</w:instrText>
              <w:fldChar w:fldCharType="separate"/>
              <w:t xml:space="preserve">41</w:t>
              <w:fldChar w:fldCharType="end"/>
            </w:r>
          </w:hyperlink>
          <w:r/>
        </w:p>
        <w:p>
          <w:pPr>
            <w:pStyle w:val="1972"/>
            <w:tabs>
              <w:tab w:val="right" w:pos="8929" w:leader="dot"/>
            </w:tabs>
            <w:suppressLineNumbers w:val="0"/>
          </w:pPr>
          <w:hyperlink w:tooltip="#_Toc16" w:anchor="_Toc16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15. Poštanske aktivnosti komercijalnog servisa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_Toc16 \h</w:instrText>
              <w:fldChar w:fldCharType="separate"/>
              <w:t xml:space="preserve">43</w:t>
              <w:fldChar w:fldCharType="end"/>
            </w:r>
          </w:hyperlink>
          <w:r/>
        </w:p>
        <w:p>
          <w:pPr>
            <w:pStyle w:val="1972"/>
            <w:tabs>
              <w:tab w:val="right" w:pos="8929" w:leader="dot"/>
            </w:tabs>
            <w:rPr>
              <w:rFonts w:ascii="Times New Roman" w:hAnsi="Times New Roman" w:eastAsia="Times New Roman" w:cs="Times New Roman"/>
              <w:b/>
              <w:bCs/>
            </w:rPr>
            <w:suppressLineNumbers w:val="0"/>
          </w:pPr>
          <w:hyperlink w:tooltip="#_Toc17" w:anchor="_Toc17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Zaključno razmatranje: </w:t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Struktura zaposlenosti po granama privrede u Novom Pazaru 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_Toc17 \h</w:instrText>
              <w:fldChar w:fldCharType="separate"/>
              <w:t xml:space="preserve">44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/>
              <w:bCs/>
            </w:rPr>
          </w:r>
        </w:p>
        <w:p>
          <w:pPr>
            <w:pStyle w:val="1972"/>
            <w:contextualSpacing w:val="0"/>
            <w:jc w:val="left"/>
            <w:spacing w:before="567" w:after="57" w:line="276" w:lineRule="auto"/>
            <w:tabs>
              <w:tab w:val="right" w:pos="8929" w:leader="dot"/>
            </w:tabs>
            <w:suppressLineNumbers w:val="0"/>
          </w:pPr>
          <w:r/>
          <w:hyperlink w:tooltip="#_Toc18" w:anchor="_Toc18" w:history="1">
            <w:r>
              <w:rPr>
                <w:rStyle w:val="1965"/>
              </w:rPr>
            </w:r>
            <w:r>
              <w:rPr>
                <w:rStyle w:val="1965"/>
                <w:b/>
                <w:bCs/>
                <w:highlight w:val="none"/>
                <w14:ligatures w14:val="none"/>
              </w:rPr>
              <w:t xml:space="preserve">DRUGI DEO</w:t>
            </w:r>
            <w:r>
              <w:rPr>
                <w:rStyle w:val="1965"/>
              </w:rPr>
              <w:t xml:space="preserve"> </w:t>
            </w:r>
            <w:r>
              <w:rPr>
                <w:rStyle w:val="1965"/>
                <w:b/>
                <w:bCs/>
                <w:highlight w:val="none"/>
              </w:rPr>
              <w:t xml:space="preserve">Osnovni statistički pokazatelji o 100 najvećih firmi (po prometu) </w:t>
            </w:r>
            <w:r>
              <w:rPr>
                <w:rStyle w:val="1965"/>
              </w:rPr>
              <w:t xml:space="preserve"> </w:t>
            </w:r>
            <w:r>
              <w:rPr>
                <w:rStyle w:val="1965"/>
                <w:b/>
                <w:bCs/>
                <w:highlight w:val="none"/>
              </w:rPr>
              <w:t xml:space="preserve">u Novom Pazaru, Čačku i Kraljevu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_Toc18 \h</w:instrText>
              <w:fldChar w:fldCharType="separate"/>
              <w:t xml:space="preserve">46</w:t>
              <w:fldChar w:fldCharType="end"/>
            </w:r>
          </w:hyperlink>
          <w:r/>
          <w:r/>
        </w:p>
        <w:p>
          <w:pPr>
            <w:pStyle w:val="1972"/>
            <w:tabs>
              <w:tab w:val="right" w:pos="8929" w:leader="dot"/>
            </w:tabs>
            <w:rPr>
              <w:b/>
              <w:bCs/>
              <w:highlight w:val="none"/>
            </w:rPr>
            <w:suppressLineNumbers w:val="0"/>
          </w:pPr>
          <w:hyperlink w:tooltip="#_Toc19" w:anchor="_Toc19" w:history="1">
            <w:r>
              <w:rPr>
                <w:rStyle w:val="1965"/>
              </w:rPr>
            </w:r>
            <w:r>
              <w:rPr>
                <w:rStyle w:val="1965"/>
                <w:b/>
                <w:bCs/>
              </w:rPr>
              <w:t xml:space="preserve">Uvod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_Toc19 \h</w:instrText>
              <w:fldChar w:fldCharType="separate"/>
              <w:t xml:space="preserve">49</w:t>
              <w:fldChar w:fldCharType="end"/>
            </w:r>
          </w:hyperlink>
          <w:r>
            <w:rPr>
              <w:b/>
              <w:bCs/>
              <w:highlight w:val="none"/>
            </w:rPr>
          </w:r>
        </w:p>
        <w:p>
          <w:pPr>
            <w:pStyle w:val="1972"/>
            <w:tabs>
              <w:tab w:val="right" w:pos="8929" w:leader="dot"/>
            </w:tabs>
            <w:suppressLineNumbers w:val="0"/>
          </w:pPr>
          <w:hyperlink w:tooltip="#_Toc20" w:anchor="_Toc20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  <w:bCs/>
              </w:rPr>
              <w:t xml:space="preserve">1. Statistički pokazatelji o broju zaposlenih — 100 najvećih preduzeća</w:t>
            </w:r>
            <w:r>
              <w:rPr>
                <w:rStyle w:val="1965"/>
                <w:rFonts w:ascii="Times New Roman" w:hAnsi="Times New Roman" w:eastAsia="Times New Roman" w:cs="Times New Roman"/>
                <w:b/>
                <w:bCs/>
              </w:rPr>
              <w:t xml:space="preserve"> 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_Toc20 \h</w:instrText>
              <w:fldChar w:fldCharType="separate"/>
              <w:t xml:space="preserve">50</w:t>
              <w:fldChar w:fldCharType="end"/>
            </w:r>
          </w:hyperlink>
          <w:r/>
        </w:p>
        <w:p>
          <w:pPr>
            <w:pStyle w:val="1972"/>
            <w:tabs>
              <w:tab w:val="right" w:pos="8929" w:leader="dot"/>
            </w:tabs>
            <w:rPr>
              <w:rStyle w:val="1808"/>
              <w:b/>
              <w:bCs/>
              <w:highlight w:val="none"/>
            </w:rPr>
            <w:suppressLineNumbers w:val="0"/>
          </w:pPr>
          <w:hyperlink w:tooltip="#_Toc21" w:anchor="_Toc21" w:history="1">
            <w:r>
              <w:rPr>
                <w:rStyle w:val="1965"/>
              </w:rPr>
            </w:r>
            <w:r>
              <w:rPr>
                <w:rStyle w:val="1965"/>
                <w:b/>
                <w:bCs/>
              </w:rPr>
              <w:t xml:space="preserve">2. Statistička analiza prihoda 100 najvećih firmi u Novom Pazaru, Čačku i Kraljevu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_Toc21 \h</w:instrText>
              <w:fldChar w:fldCharType="separate"/>
              <w:t xml:space="preserve">55</w:t>
              <w:fldChar w:fldCharType="end"/>
            </w:r>
          </w:hyperlink>
          <w:r>
            <w:rPr>
              <w:rStyle w:val="1808"/>
              <w:b/>
              <w:bCs/>
              <w:highlight w:val="none"/>
            </w:rPr>
          </w:r>
        </w:p>
        <w:p>
          <w:pPr>
            <w:pStyle w:val="1973"/>
            <w:tabs>
              <w:tab w:val="right" w:pos="8929" w:leader="dot"/>
            </w:tabs>
            <w:suppressLineNumbers w:val="0"/>
          </w:pPr>
          <w:hyperlink w:tooltip="#_Toc22" w:anchor="_Toc22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2.1. Analiza prometa (prihoda) 100 najvećih firmi u Novom Pazaru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_Toc22 \h</w:instrText>
              <w:fldChar w:fldCharType="separate"/>
              <w:t xml:space="preserve">55</w:t>
              <w:fldChar w:fldCharType="end"/>
            </w:r>
          </w:hyperlink>
          <w:r/>
        </w:p>
        <w:p>
          <w:pPr>
            <w:pStyle w:val="1973"/>
            <w:tabs>
              <w:tab w:val="right" w:pos="8929" w:leader="dot"/>
            </w:tabs>
            <w:suppressLineNumbers w:val="0"/>
          </w:pPr>
          <w:hyperlink w:tooltip="#_Toc23" w:anchor="_Toc23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2.2. Analiza prometa (prihoda) 100 najvećih firmi u Čačku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_Toc23 \h</w:instrText>
              <w:fldChar w:fldCharType="separate"/>
              <w:t xml:space="preserve">59</w:t>
              <w:fldChar w:fldCharType="end"/>
            </w:r>
          </w:hyperlink>
          <w:r/>
        </w:p>
        <w:p>
          <w:pPr>
            <w:pStyle w:val="1973"/>
            <w:tabs>
              <w:tab w:val="right" w:pos="8929" w:leader="dot"/>
            </w:tabs>
            <w:suppressLineNumbers w:val="0"/>
          </w:pPr>
          <w:hyperlink w:tooltip="#_Toc24" w:anchor="_Toc24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2.3. Analiza prometa (prihoda) 100 najvećih firmi u Kraljevu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_Toc24 \h</w:instrText>
              <w:fldChar w:fldCharType="separate"/>
              <w:t xml:space="preserve">62</w:t>
              <w:fldChar w:fldCharType="end"/>
            </w:r>
          </w:hyperlink>
          <w:r/>
        </w:p>
        <w:p>
          <w:pPr>
            <w:pStyle w:val="1973"/>
            <w:tabs>
              <w:tab w:val="right" w:pos="8929" w:leader="dot"/>
            </w:tabs>
            <w:rPr>
              <w:rFonts w:ascii="Times New Roman" w:hAnsi="Times New Roman" w:eastAsia="Times New Roman" w:cs="Times New Roman"/>
              <w:b/>
              <w:bCs/>
              <w:highlight w:val="none"/>
            </w:rPr>
            <w:suppressLineNumbers w:val="0"/>
          </w:pPr>
          <w:hyperlink w:tooltip="#_Toc25" w:anchor="_Toc25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  <w:bCs/>
                <w:highlight w:val="none"/>
              </w:rPr>
              <w:t xml:space="preserve">2.4. Uporedna analiza 100 najvećih preduzeća Novog Pazara, Čačka i Kraljeva na osnovu prometa: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_Toc25 \h</w:instrText>
              <w:fldChar w:fldCharType="separate"/>
              <w:t xml:space="preserve">65</w:t>
              <w:fldChar w:fldCharType="end"/>
            </w:r>
          </w:hyperlink>
          <w:r>
            <w:rPr>
              <w:rFonts w:ascii="Times New Roman" w:hAnsi="Times New Roman" w:eastAsia="Times New Roman" w:cs="Times New Roman"/>
              <w:b/>
              <w:bCs/>
              <w:highlight w:val="none"/>
            </w:rPr>
          </w:r>
        </w:p>
        <w:p>
          <w:pPr>
            <w:pStyle w:val="1972"/>
            <w:tabs>
              <w:tab w:val="right" w:pos="8929" w:leader="dot"/>
            </w:tabs>
            <w:rPr>
              <w:b/>
              <w:bCs/>
            </w:rPr>
            <w:suppressLineNumbers w:val="0"/>
          </w:pPr>
          <w:hyperlink w:tooltip="#_Toc26" w:anchor="_Toc26" w:history="1">
            <w:r>
              <w:rPr>
                <w:rStyle w:val="1965"/>
              </w:rPr>
            </w:r>
            <w:r>
              <w:rPr>
                <w:rStyle w:val="1965"/>
                <w:b/>
                <w:bCs/>
              </w:rPr>
              <w:t xml:space="preserve">3. Statistička analiza neto dobiti 100 najvećih firmu u Novom Pazaru, Čačku i Kraljevu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_Toc26 \h</w:instrText>
              <w:fldChar w:fldCharType="separate"/>
              <w:t xml:space="preserve">67</w:t>
              <w:fldChar w:fldCharType="end"/>
            </w:r>
          </w:hyperlink>
          <w:r>
            <w:rPr>
              <w:b/>
              <w:bCs/>
            </w:rPr>
          </w:r>
        </w:p>
        <w:p>
          <w:pPr>
            <w:pStyle w:val="1973"/>
            <w:tabs>
              <w:tab w:val="right" w:pos="8929" w:leader="dot"/>
            </w:tabs>
            <w:rPr>
              <w:b/>
              <w:bCs/>
              <w:highlight w:val="none"/>
            </w:rPr>
            <w:suppressLineNumbers w:val="0"/>
          </w:pPr>
          <w:hyperlink w:tooltip="#_Toc27" w:anchor="_Toc27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  <w:bCs/>
              </w:rPr>
              <w:t xml:space="preserve">3.1. Analiza </w:t>
            </w:r>
            <w:r>
              <w:rPr>
                <w:rStyle w:val="1965"/>
                <w:rFonts w:ascii="Times New Roman" w:hAnsi="Times New Roman" w:eastAsia="Times New Roman" w:cs="Times New Roman"/>
                <w:b/>
                <w:bCs/>
              </w:rPr>
              <w:t xml:space="preserve">neto dobiti 100 najvećih firmi u Novom Pazaru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_Toc27 \h</w:instrText>
              <w:fldChar w:fldCharType="separate"/>
              <w:t xml:space="preserve">67</w:t>
              <w:fldChar w:fldCharType="end"/>
            </w:r>
          </w:hyperlink>
          <w:r>
            <w:rPr>
              <w:b/>
              <w:bCs/>
              <w:highlight w:val="none"/>
            </w:rPr>
          </w:r>
        </w:p>
        <w:p>
          <w:pPr>
            <w:pStyle w:val="1973"/>
            <w:tabs>
              <w:tab w:val="right" w:pos="8929" w:leader="dot"/>
            </w:tabs>
            <w:suppressLineNumbers w:val="0"/>
          </w:pPr>
          <w:hyperlink w:tooltip="#_Toc28" w:anchor="_Toc28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3.2. Analiza neto dobiti 100 najvećih firmi u Čačku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_Toc28 \h</w:instrText>
              <w:fldChar w:fldCharType="separate"/>
              <w:t xml:space="preserve">71</w:t>
              <w:fldChar w:fldCharType="end"/>
            </w:r>
          </w:hyperlink>
          <w:r/>
        </w:p>
        <w:p>
          <w:pPr>
            <w:pStyle w:val="1973"/>
            <w:tabs>
              <w:tab w:val="right" w:pos="8929" w:leader="dot"/>
            </w:tabs>
            <w:suppressLineNumbers w:val="0"/>
          </w:pPr>
          <w:hyperlink w:tooltip="#_Toc29" w:anchor="_Toc29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3.3. Analiza neto dobiti 100 najvećih firmi u Kraljevu</w:t>
            </w:r>
            <w:r>
              <w:rPr>
                <w:rStyle w:val="1965"/>
                <w:rFonts w:ascii="Times New Roman" w:hAnsi="Times New Roman" w:eastAsia="Times New Roman" w:cs="Times New Roman"/>
              </w:rPr>
              <w:t xml:space="preserve">: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_Toc29 \h</w:instrText>
              <w:fldChar w:fldCharType="separate"/>
              <w:t xml:space="preserve">74</w:t>
              <w:fldChar w:fldCharType="end"/>
            </w:r>
          </w:hyperlink>
          <w:r/>
        </w:p>
        <w:p>
          <w:pPr>
            <w:pStyle w:val="1973"/>
            <w:tabs>
              <w:tab w:val="right" w:pos="8929" w:leader="dot"/>
            </w:tabs>
            <w:rPr>
              <w:rFonts w:ascii="Times New Roman" w:hAnsi="Times New Roman" w:eastAsia="Times New Roman" w:cs="Times New Roman"/>
            </w:rPr>
            <w:suppressLineNumbers w:val="0"/>
          </w:pPr>
          <w:hyperlink w:tooltip="#_Toc30" w:anchor="_Toc30" w:history="1">
            <w:r>
              <w:rPr>
                <w:rStyle w:val="1965"/>
              </w:rPr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3.4. Uporedna analiza neto dobiti i broja zaposlenih</w:t>
            </w:r>
            <w:r>
              <w:rPr>
                <w:rStyle w:val="1965"/>
                <w:rFonts w:ascii="Times New Roman" w:hAnsi="Times New Roman" w:eastAsia="Times New Roman" w:cs="Times New Roman"/>
              </w:rPr>
              <w:t xml:space="preserve"> za </w:t>
            </w:r>
            <w:r>
              <w:rPr>
                <w:rStyle w:val="1965"/>
                <w:rFonts w:ascii="Times New Roman" w:hAnsi="Times New Roman" w:eastAsia="Times New Roman" w:cs="Times New Roman"/>
                <w:b/>
              </w:rPr>
              <w:t xml:space="preserve">Novi Pazar, Kraljevo i Čačak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_Toc30 \h</w:instrText>
              <w:fldChar w:fldCharType="separate"/>
              <w:t xml:space="preserve">77</w:t>
              <w:fldChar w:fldCharType="end"/>
            </w:r>
          </w:hyperlink>
          <w:r>
            <w:rPr>
              <w:rFonts w:ascii="Times New Roman" w:hAnsi="Times New Roman" w:eastAsia="Times New Roman" w:cs="Times New Roman"/>
            </w:rPr>
          </w:r>
        </w:p>
        <w:p>
          <w:pPr>
            <w:pStyle w:val="1972"/>
            <w:contextualSpacing w:val="0"/>
            <w:jc w:val="left"/>
            <w:spacing w:before="567" w:after="57" w:line="276" w:lineRule="auto"/>
            <w:tabs>
              <w:tab w:val="right" w:pos="8929" w:leader="dot"/>
            </w:tabs>
            <w:rPr>
              <w:b/>
              <w:bCs/>
              <w:highlight w:val="none"/>
            </w:rPr>
            <w:suppressLineNumbers w:val="0"/>
          </w:pPr>
          <w:r/>
          <w:hyperlink w:tooltip="#_Toc31" w:anchor="_Toc31" w:history="1">
            <w:r>
              <w:rPr>
                <w:rStyle w:val="1965"/>
              </w:rPr>
            </w:r>
            <w:r>
              <w:rPr>
                <w:rStyle w:val="1965"/>
                <w:b/>
                <w:bCs/>
              </w:rPr>
              <w:t xml:space="preserve">Prilog 1: Lista 100 najvećih pravnih lica u Novom Pazaru, poredana po broju zaposlenih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_Toc31 \h</w:instrText>
              <w:fldChar w:fldCharType="separate"/>
              <w:t xml:space="preserve">79</w:t>
              <w:fldChar w:fldCharType="end"/>
            </w:r>
          </w:hyperlink>
          <w:r/>
          <w:r>
            <w:rPr>
              <w:b/>
              <w:bCs/>
              <w:highlight w:val="none"/>
            </w:rPr>
          </w:r>
        </w:p>
        <w:p>
          <w:pPr>
            <w:pStyle w:val="1972"/>
            <w:contextualSpacing w:val="0"/>
            <w:jc w:val="left"/>
            <w:spacing w:before="567" w:after="57" w:line="276" w:lineRule="auto"/>
            <w:tabs>
              <w:tab w:val="right" w:pos="8929" w:leader="dot"/>
            </w:tabs>
            <w:rPr>
              <w:highlight w:val="none"/>
            </w:rPr>
            <w:suppressLineNumbers w:val="0"/>
          </w:pPr>
          <w:r/>
          <w:hyperlink w:tooltip="#_Toc32" w:anchor="_Toc32" w:history="1">
            <w:r>
              <w:rPr>
                <w:rStyle w:val="1965"/>
              </w:rPr>
            </w:r>
            <w:r>
              <w:rPr>
                <w:rStyle w:val="1965"/>
                <w:b/>
                <w:bCs/>
              </w:rPr>
              <w:t xml:space="preserve">Prilog 2: Lista 100 najvećih pravnih lica u Čačku, poredana po broju zaposlenih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_Toc32 \h</w:instrText>
              <w:fldChar w:fldCharType="separate"/>
              <w:t xml:space="preserve">87</w:t>
              <w:fldChar w:fldCharType="end"/>
            </w:r>
          </w:hyperlink>
          <w:r/>
          <w:r>
            <w:rPr>
              <w:highlight w:val="none"/>
            </w:rPr>
          </w:r>
        </w:p>
        <w:p>
          <w:pPr>
            <w:pStyle w:val="1972"/>
            <w:contextualSpacing w:val="0"/>
            <w:jc w:val="left"/>
            <w:spacing w:before="567" w:after="57" w:line="276" w:lineRule="auto"/>
            <w:tabs>
              <w:tab w:val="right" w:pos="8929" w:leader="dot"/>
            </w:tabs>
            <w:rPr>
              <w:highlight w:val="none"/>
            </w:rPr>
            <w:suppressLineNumbers w:val="0"/>
          </w:pPr>
          <w:r/>
          <w:hyperlink w:tooltip="#_Toc33" w:anchor="_Toc33" w:history="1">
            <w:r>
              <w:rPr>
                <w:rStyle w:val="1965"/>
              </w:rPr>
            </w:r>
            <w:r>
              <w:rPr>
                <w:rStyle w:val="1965"/>
                <w:b/>
                <w:bCs/>
              </w:rPr>
              <w:t xml:space="preserve">Prilog 3: Lista 100 najvećih pravnih lica u Kraljevu, poredana po broju zaposlenih</w:t>
            </w:r>
            <w:r>
              <w:rPr>
                <w:rStyle w:val="1965"/>
              </w:rPr>
            </w:r>
            <w:r>
              <w:tab/>
            </w:r>
            <w:r>
              <w:fldChar w:fldCharType="begin"/>
              <w:instrText xml:space="preserve">PAGEREF _Toc33 \h</w:instrText>
              <w:fldChar w:fldCharType="separate"/>
              <w:t xml:space="preserve">90</w:t>
              <w:fldChar w:fldCharType="end"/>
            </w:r>
          </w:hyperlink>
          <w:r/>
          <w:r>
            <w:rPr>
              <w:highlight w:val="none"/>
            </w:rPr>
          </w:r>
        </w:p>
        <w:p>
          <w:pPr>
            <w:rPr>
              <w:sz w:val="32"/>
              <w:szCs w:val="32"/>
              <w:highlight w:val="none"/>
            </w:rPr>
          </w:pPr>
          <w:r/>
          <w:r>
            <w:fldChar w:fldCharType="end"/>
          </w:r>
          <w:r/>
          <w:r/>
        </w:p>
      </w:sdtContent>
    </w:sdt>
    <w:p>
      <w:pPr>
        <w:shd w:val="nil" w:color="000000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  <w:r/>
    </w:p>
    <w:p>
      <w:pPr>
        <w:shd w:val="nil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  <w:br w:type="page" w:clear="all"/>
      </w:r>
      <w:r>
        <w:rPr>
          <w:sz w:val="32"/>
          <w:szCs w:val="32"/>
          <w:highlight w:val="none"/>
        </w:rPr>
      </w:r>
    </w:p>
    <w:p>
      <w:pPr>
        <w:jc w:val="center"/>
        <w:shd w:val="nil" w:color="000000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  <w:r/>
    </w:p>
    <w:p>
      <w:pPr>
        <w:jc w:val="center"/>
        <w:shd w:val="nil" w:color="000000"/>
        <w:suppressLineNumbers w:val="0"/>
      </w:pPr>
      <w:r>
        <w:rPr>
          <w:sz w:val="32"/>
          <w:szCs w:val="32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33955" cy="335999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62141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5433953" cy="3359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27.9pt;height:264.6pt;mso-wrap-distance-left:0.0pt;mso-wrap-distance-top:0.0pt;mso-wrap-distance-right:0.0pt;mso-wrap-distance-bottom:0.0pt;rotation:0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32"/>
          <w:szCs w:val="32"/>
          <w:highlight w:val="none"/>
        </w:rPr>
      </w:r>
      <w:r/>
    </w:p>
    <w:p>
      <w:pPr>
        <w:jc w:val="center"/>
        <w:shd w:val="nil" w:color="000000"/>
        <w:rPr>
          <w:sz w:val="32"/>
          <w:szCs w:val="32"/>
          <w:highlight w:val="none"/>
        </w:rPr>
        <w:suppressLineNumbers w:val="0"/>
      </w:pPr>
      <w:r>
        <w:rPr>
          <w:sz w:val="32"/>
          <w:szCs w:val="32"/>
          <w:highlight w:val="none"/>
        </w:rPr>
      </w:r>
      <w:r>
        <w:rPr>
          <w:sz w:val="32"/>
          <w:szCs w:val="32"/>
          <w:highlight w:val="none"/>
        </w:rPr>
      </w:r>
      <w:r/>
    </w:p>
    <w:p>
      <w:pPr>
        <w:jc w:val="center"/>
        <w:shd w:val="nil" w:color="000000"/>
        <w:rPr>
          <w:sz w:val="32"/>
          <w:szCs w:val="32"/>
          <w:highlight w:val="none"/>
        </w:rPr>
        <w:suppressLineNumber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2299" cy="3340421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54619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5402298" cy="3340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25.4pt;height:263.0pt;mso-wrap-distance-left:0.0pt;mso-wrap-distance-top:0.0pt;mso-wrap-distance-right:0.0pt;mso-wrap-distance-bottom:0.0pt;rotation:0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32"/>
          <w:szCs w:val="32"/>
        </w:rPr>
        <w:br w:type="page" w:clear="all"/>
      </w:r>
      <w:r/>
    </w:p>
    <w:p>
      <w:pPr>
        <w:pStyle w:val="1807"/>
        <w:tabs>
          <w:tab w:val="left" w:pos="5291" w:leader="none"/>
        </w:tabs>
        <w:rPr>
          <w:highlight w:val="none"/>
        </w:rPr>
        <w:suppressLineNumbers w:val="0"/>
      </w:pPr>
      <w:r/>
      <w:bookmarkStart w:id="2" w:name="_Toc2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Uvod</w:t>
      </w:r>
      <w:r>
        <w:tab/>
      </w:r>
      <w:r/>
      <w:bookmarkEnd w:id="2"/>
      <w:r/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Analiza broja zaposlenih po granama industrije predstavlja jedan od ključnih alata za razumevanje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ekonomskog potencijala, strukture i pravaca razvoja privrede jednog grada ili regiona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Broj zaposlenih u određenom sektoru ne meri se samo kao statistički podatak – on odražava dubinske procese u ekonomiji, društvu i zajednici.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b/>
          <w:bCs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Obrazloženje i metodološka napomena: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A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naliza zaposlenosti po granama privrede u Novom Pazaru zasniva se na podacima o 100 najvećih preduzeća prema ostvarenim prihodima (prometu). Takav izbor uzorka obezbeđuje uvid u one privredne subjekte koji imaju najveći ekonomski značaj i uticaj na lokalnu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 ekonomiju, ali istovremeno znači da manja i mikro preduzeća, iako brojna i važna za zapošljavanje i život zajednice, nisu obuhvaćena ovim istraživanjem.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P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odaci su preuzeti iz zvanične baze Agencije za privredne registre Republike Srbije (APR) i predstavljaju rezultate iz Godišnjih finansijskih izveštaja pravnih lica za 2024. godinu. APR obrađuje i objavljuje podatke koje dostavljaju sama pravna lica, pa su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oni verifikovani u skladu sa zakonskim procedurama.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S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vi podaci, analize i zaključci predstavljeni u ovom izveštaju odnose se isključivo na 100 najvećih preduzeća u Novom Pazaru (prema ostvarenim prihodima) i ne mogu se generalizovati na celokupnu privredu grada. Iako se radi o najrelevantnijim privrednim akt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erima, treba imati u vidu da u lokalnoj ekonomiji postoji veliki broj mikro i malih firmi, preduzetnika i neformalnih oblika poslovanja koji nisu obuhvaćeni ovim istraživanjem, a čiji je doprinos zaposlenosti i društveno-ekonomskom životu takođe značajan.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Podaci su preuzeti i generisani iz zvanične baze APR-a i zasnovani na Godišnjim finansijskim izveštajima pravnih lica za 2024. godinu, te se u skladu s tim odnose na period koji je predmet finansijskog izveštavanja.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1. Struktura privrede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Pomaže da prepoznamo koje grane dominiraju lokalnom ekonomijom.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Omogućava poređenje među gradovima i regionima (npr. u kojoj meri je privreda zasnovana na proizvodnji, uslugama, poljoprivredi ili trgovini).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2. Planiranje razvoja i investicija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Podaci o zaposlenosti po granama služe lokalnim samoupravama i donosiocima odluka da usmere investicije.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Identifikuju sektore sa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najvećim potencijalom za rast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one koji su u stagnaciji ili opadanju.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3. Procena stabilnosti tržišta rada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Neke industrije su stabilnije i otpornije na krize (npr. komunalne delatnosti), dok su druge oscilatorne (npr. tekstilna industrija).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Analiza pokazuje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ranjivost radne snage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 zavisnosti od oslonca na pojedine sektore.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4. Socijalno-ekonomski značaj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Grane industrije koje zapošljavaju veliki broj ljudi imaju direktan uticaj na kvalitet života u lokalnoj zajednici.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Distribucija zaposlenih po sektorima pokazuje 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stepen diverzifikacije privrede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što je raznovrsnija, to je zajednica otpornija na ekonomske šokove.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5. Povezanost sa prihodima i profitabilnošću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Kroz poređenje zaposlenosti i prometa/dobiti u određenim granama možemo analizirati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efikasnost industrije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(prihod i dobit po zaposlenom).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Time dobijamo uvid u to da li određeni sektor donosi „masovno zapošljavanje“ ili „visoku produktivnost“.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savremenoj ekonomiji, sve češće se govori 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transformaciji privrede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prelazak sa tradicionalne proizvodnje ka IT sektoru, uslugama visoke dodate vrednosti i inovacijama.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Analiza zaposlenosti po industrijama nam daje podatke na osnovu kojih možemo pratiti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da li lokalne privrede prate te globalne trendove ili ostaju u tradicionalnim okvirima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Ovo istraživanje ima veliki značaj, jer: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daje sliku realnog stanja privrede,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pomaže u kreiranju razvojnih politika,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osvetljava rizike i šanse,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 povezuje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radnu snagu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ekonomskim performansama sektora.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t xml:space="preserve">Struktura zaposlenosti po granama industrije: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Analiza zaposlenosti po industrijskim granama pruža uvid u osnovne karakteristike lokalne privrede i omogućava sagledavanje sektora koji imaju najveći ekonomski značaj. U slučaju Novog Pazara, raspodela zaposlenih ukazuje na raznoliku, ali ipak koncentrisa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nu privrednu strukturu u kojoj dominiraju određene grane sa snažnim uticajem na ukupnu zaposlenost i društveno-ekonomski život grada.</w:t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Na osnovu prikupljenih podataka, uočava se da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najveći broj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 Novom Pazaru zapošljavaju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građevinska industrija (665 radnika)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javna komunalna preduzeća (509 radnika)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te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proizvodnja nameštaja (453 radnika)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trgovina na veliko (441 radnik)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Ove četiri grane zajedno zapošljavaju više od polovine ukupnog broja radnika iz uzorka, što jasno ukazuje na njihov značaj za privredu grada.</w:t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Pored njih, značajnu ulogu imaju i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drumski prevoz tereta (440 radnika)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proizvodnja odeće (163 radnika)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dok manje, ali ipak prepoznatljive sektore čine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rezanje i obrada drveta (84 radnika)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proizvodnja hrane (64 radnika)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održavanje i prodaja automobila (50 radnika)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tbl>
      <w:tblPr>
        <w:tblStyle w:val="1839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45"/>
        <w:gridCol w:w="1599"/>
      </w:tblGrid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hd w:val="clear" w:color="f7caac" w:themeColor="accent2" w:themeTint="66" w:fill="f7caac" w:themeFill="accent2" w:themeFillTint="66"/>
              <w:rPr>
                <w:rFonts w:ascii="Carlito" w:hAnsi="Carlito" w:cs="Carlito"/>
                <w:b/>
                <w:bCs/>
              </w:rPr>
              <w:suppressLineNumbers w:val="0"/>
            </w:pPr>
            <w:r>
              <w:rPr>
                <w:rFonts w:ascii="Carlito" w:hAnsi="Carlito" w:eastAsia="Calibri" w:cs="Carlito"/>
                <w:b/>
                <w:bCs/>
                <w:color w:val="000000"/>
                <w:sz w:val="22"/>
              </w:rPr>
              <w:t xml:space="preserve">Delatnost</w:t>
            </w:r>
            <w:r>
              <w:rPr>
                <w:rFonts w:ascii="Carlito" w:hAnsi="Carlito" w:cs="Carlito"/>
                <w:b/>
                <w:bCs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hd w:val="clear" w:color="f7caac" w:themeColor="accent2" w:themeTint="66" w:fill="f7caac" w:themeFill="accent2" w:themeFillTint="66"/>
              <w:rPr>
                <w:rFonts w:ascii="Carlito" w:hAnsi="Carlito" w:cs="Carlito"/>
                <w:b/>
                <w:bCs/>
                <w:szCs w:val="22"/>
              </w:rPr>
              <w:suppressLineNumbers w:val="0"/>
            </w:pPr>
            <w:r>
              <w:rPr>
                <w:rFonts w:ascii="Carlito" w:hAnsi="Carlito" w:eastAsia="Calibri" w:cs="Carlito"/>
                <w:b/>
                <w:bCs/>
                <w:color w:val="000000"/>
                <w:sz w:val="22"/>
              </w:rPr>
              <w:t xml:space="preserve">Broj radnika</w:t>
            </w:r>
            <w:r>
              <w:rPr>
                <w:rFonts w:ascii="Carlito" w:hAnsi="Carlito" w:cs="Carlito"/>
                <w:b/>
                <w:bCs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Građevinska industrija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665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JKP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509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Proizvodnja nameštaja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453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Trgovina na veliko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441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Drumski prevoz tereta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440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top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Liberation Sans" w:cs="Carlito"/>
                <w:color w:val="000000"/>
                <w:sz w:val="22"/>
              </w:rPr>
              <w:t xml:space="preserve">Trgovina na malo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312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Proizvodnja odeće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163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top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Liberation Sans" w:cs="Carlito"/>
                <w:color w:val="000000"/>
                <w:sz w:val="22"/>
              </w:rPr>
              <w:t xml:space="preserve">Ustupanje ljud. res.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135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Rezanje i obrada drveta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84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Proizvodnja hrane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64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top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Liberation Sans" w:cs="Carlito"/>
                <w:color w:val="000000"/>
                <w:sz w:val="22"/>
              </w:rPr>
              <w:t xml:space="preserve">Prevoz putnika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53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top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Liberation Sans" w:cs="Carlito"/>
                <w:color w:val="000000"/>
                <w:sz w:val="22"/>
              </w:rPr>
              <w:t xml:space="preserve">Održavanje i prod. auta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50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Tehničko ispitivanje i analize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35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Proizvodnja opreme 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29</w:t>
            </w:r>
            <w:r>
              <w:rPr>
                <w:rFonts w:ascii="Carlito" w:hAnsi="Carlito" w:cs="Carlito"/>
              </w:rPr>
            </w:r>
            <w:r/>
          </w:p>
        </w:tc>
      </w:tr>
      <w:tr>
        <w:trPr>
          <w:trHeight w:val="28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3645" w:type="dxa"/>
            <w:vAlign w:val="top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Liberation Sans" w:cs="Carlito"/>
                <w:color w:val="000000"/>
                <w:sz w:val="22"/>
              </w:rPr>
              <w:t xml:space="preserve">Poštanske aktivnosti</w:t>
            </w:r>
            <w:r>
              <w:rPr>
                <w:rFonts w:ascii="Carlito" w:hAnsi="Carlito" w:cs="Carlito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0" w:type="dxa"/>
              <w:right w:w="45" w:type="dxa"/>
              <w:bottom w:w="0" w:type="dxa"/>
            </w:tcMar>
            <w:tcW w:w="1599" w:type="dxa"/>
            <w:vAlign w:val="bottom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rFonts w:ascii="Carlito" w:hAnsi="Carlito" w:cs="Carlito"/>
              </w:rPr>
              <w:suppressLineNumbers w:val="0"/>
            </w:pPr>
            <w:r>
              <w:rPr>
                <w:rFonts w:ascii="Carlito" w:hAnsi="Carlito" w:eastAsia="Calibri" w:cs="Carlito"/>
                <w:color w:val="000000"/>
                <w:sz w:val="22"/>
              </w:rPr>
              <w:t xml:space="preserve">4</w:t>
            </w:r>
            <w:r>
              <w:rPr>
                <w:rFonts w:ascii="Carlito" w:hAnsi="Carlito" w:cs="Carlito"/>
              </w:rPr>
            </w:r>
            <w:r/>
          </w:p>
        </w:tc>
      </w:tr>
    </w:tbl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center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36"/>
          <w:szCs w:val="36"/>
          <w:highlight w:val="none"/>
        </w:rPr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center"/>
        <w:spacing w:before="0" w:after="0"/>
        <w:rPr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33954" cy="3359995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05082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5433954" cy="33599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27.9pt;height:264.6pt;mso-wrap-distance-left:0.0pt;mso-wrap-distance-top:0.0pt;mso-wrap-distance-right:0.0pt;mso-wrap-distance-bottom:0.0pt;rotation:0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36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36"/>
          <w:highlight w:val="none"/>
        </w:rPr>
      </w:r>
      <w:r/>
    </w:p>
    <w:p>
      <w:pPr>
        <w:contextualSpacing w:val="0"/>
        <w:jc w:val="center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02299" cy="3340422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1030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5402298" cy="3340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25.4pt;height:263.0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Detaljna analiza po granama: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Građevinska industrija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Sa 665 zaposlenih, građevinarstvo predstavlja najznačajniju granu u lokalnoj privredi. Ovaj sektor je oslonjen na stalnu tražnju za infrastrukturnim projektima i stambenom izgradnjom, što ga čini stabilnim poslodavcem i ključnim nosiocem zapošljavanja. Gra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đevinski sektor ima multiplikativne efekte na druge industrije – proizvodnju građevinskog materijala, transport i usluge.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Javno-komunalna preduzeća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Javna komunalna preduzeća zapošljavaju 509 ljudi, što svedoči o značajnoj ulozi javnog sektora u Novom Pazaru. Ovaj sektor obezbeđuje osnovne usluge stanovništvu i ima stabilnu, ali ograničenu dinamiku zapošljavanja. Udeo JKP-a u ukupnoj zaposlenosti ukazu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je na visok stepen oslonca lokalne privrede na javna sredstva.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Proizvodnja nameštaja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Proizvodnja nameštaja sa 453 radnika predstavlja jednu od ključnih proizvodnih grana. Ova delatnost je tradicionalno razvijena u Novom Pazaru i značajna je zbog izvoznog potencijala, kao i mogućnosti povezivanja sa lokalnom drvnom industrijom. Upravo ovaj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može biti identifikovan kao polje za inovacije i rast konkurentnosti.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Trgovina na veliko i trgovina na malo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Trgovina na veliko zapošljava 441, a trgovina na malo 312 radnika. Ovi sektori zajedno imaju ključnu ulogu u obezbeđivanju prometa roba i u dinamici potrošnje. Trgovina na veliko pokazuje veću koncentraciju zaposlenih, što ukazuje na postojanje jakih distr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ibutivnih centara i firmi sa razvijenom logistikom.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Transport i logistika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Drumski prevoz tereta zapošljava 440 radnika, što pokazuje da je logistika važan deo privredne infrastrukture grada. Ovo je očekivano, imajući u vidu geografsku poziciju Novog Pazara i njegovu ulogu u regionalnim trgovinskim tokovima. Prevoz putnika sa 53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zaposlena ima manji značaj, ali je važan za lokalnu mobilnost.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Proizvodnja odeće i hrane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Proizvodnja odeće (163 radnika) i proizvodnja hrane (64 radnika) i dalje su prisutne u strukturi privrede, ali sa manjim obimom u odnosu na dominantne sektore. Tekstilna industrija, iako nekada nosilac razvoja, sada ima skromniji udeo, dok proizvodnja hran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e pokazuje potencijal za razvoj lokalnih brendova.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Manje industrije i specijalizovane delatnosti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Sektori poput rezanja i obrade drveta (84), proizvodnje opreme (29), tehničkog ispitivanja i analiza (35), održavanja i prodaje automobila (50) i ustupanja ljudskih resursa (135) dopunjuju strukturu privrede. Iako pojedinačno mali, ovi sektori obezbeđuju s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pecijalizovana znanja i čine privredu raznovrsnijom.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Analiza pokazuje da privreda Novog Pazara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dominantne grane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koje okupljaju najveći broj zaposlenih (građevinarstvo, javna preduzeća, nameštaj, trgovina i transport), ali 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manje, specijalizovane industrije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koje obezbeđuju diverzifikaciju. Međutim, primetna je visoka koncentracija zaposlenosti u nekoliko sektora, što može predstavljati rizik u slučaju promena na tržištu.</w:t>
      </w:r>
      <w:r>
        <w:rPr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narednom periodu, za dalji razvoj lokalne privrede, preporučuje se: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3"/>
        </w:numPr>
        <w:contextualSpacing w:val="0"/>
        <w:jc w:val="left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Podrška inovacijama u tradicionalnim industrijama (drvo, nameštaj, odeća).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3"/>
        </w:numPr>
        <w:contextualSpacing w:val="0"/>
        <w:jc w:val="left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Jačanje logistike i transporta kroz digitalizaciju i nove tehnologije.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3"/>
        </w:numPr>
        <w:contextualSpacing w:val="0"/>
        <w:jc w:val="left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Diversifikacija privrede kroz podsticaje za IT i nove uslužne sektore.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3"/>
        </w:numPr>
        <w:contextualSpacing w:val="0"/>
        <w:jc w:val="left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Smanjenje oslonca na javna komunalna preduzeća kroz jačanje privatne inicijative.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highlight w:val="none"/>
        </w:rPr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left"/>
        <w:spacing w:before="0" w:after="0"/>
        <w:rPr>
          <w:highlight w:val="none"/>
        </w:rPr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</w:r>
      <w:r>
        <w:br w:type="page" w:clear="all"/>
      </w:r>
      <w:r/>
    </w:p>
    <w:p>
      <w:pPr>
        <w:pStyle w:val="1807"/>
        <w:rPr>
          <w:sz w:val="32"/>
          <w:szCs w:val="32"/>
        </w:rPr>
        <w:suppressLineNumbers w:val="0"/>
      </w:pPr>
      <w:r/>
      <w:bookmarkStart w:id="3" w:name="_Toc3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1. Građevinska industrija</w:t>
      </w:r>
      <w:r/>
      <w:bookmarkEnd w:id="3"/>
      <w:r/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</w:rPr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 okviru 100 najvećih firmi u Novom Pazaru, sektor građevinske industrije zapošljava ukupno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665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što ga čini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najvećim poslodavcem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među svim analiziranim privrednim granama. Struktura sektora je raznovrsna, obuhvatajući nekoliko većih i više manjih preduzeća:</w:t>
      </w:r>
      <w:r/>
    </w:p>
    <w:p>
      <w:pPr>
        <w:pStyle w:val="1987"/>
        <w:numPr>
          <w:ilvl w:val="0"/>
          <w:numId w:val="37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Najveće građevinsko preduzeće zapošljava čak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303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/>
    </w:p>
    <w:p>
      <w:pPr>
        <w:pStyle w:val="1987"/>
        <w:numPr>
          <w:ilvl w:val="0"/>
          <w:numId w:val="37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Sledeće značajno ima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167 zaposlenih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/>
    </w:p>
    <w:p>
      <w:pPr>
        <w:pStyle w:val="1987"/>
        <w:numPr>
          <w:ilvl w:val="0"/>
          <w:numId w:val="37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Srednja firma ima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85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/>
    </w:p>
    <w:p>
      <w:pPr>
        <w:pStyle w:val="1987"/>
        <w:numPr>
          <w:ilvl w:val="0"/>
          <w:numId w:val="37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Ostatak čini niz manjih firmi sa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1–34 zaposlena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među kojima se izdvajaju one sa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25 i 23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contextualSpacing w:val="0"/>
        <w:ind w:left="720" w:firstLine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tbl>
      <w:tblPr>
        <w:tblStyle w:val="1839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709"/>
        <w:gridCol w:w="850"/>
        <w:gridCol w:w="1134"/>
        <w:gridCol w:w="1134"/>
        <w:gridCol w:w="141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b/>
                <w:bCs/>
              </w:rPr>
              <w:suppressLineNumbers w:val="0"/>
            </w:pPr>
            <w:r>
              <w:rPr>
                <w:b/>
                <w:bCs/>
              </w:rPr>
              <w:t xml:space="preserve">Šifra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b/>
                <w:bCs/>
              </w:rPr>
              <w:suppressLineNumbers w:val="0"/>
            </w:pPr>
            <w:r>
              <w:rPr>
                <w:b/>
                <w:bCs/>
              </w:rPr>
              <w:t xml:space="preserve">Naziv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b/>
                <w:bCs/>
              </w:rPr>
              <w:suppressLineNumbers w:val="0"/>
            </w:pPr>
            <w:r>
              <w:rPr>
                <w:b/>
                <w:bCs/>
              </w:rPr>
              <w:t xml:space="preserve">Bonitetna ocena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rPr>
                <w:b/>
                <w:bCs/>
              </w:rPr>
              <w:suppressLineNumbers w:val="0"/>
            </w:pPr>
            <w:r>
              <w:rPr>
                <w:b/>
                <w:bCs/>
              </w:rPr>
              <w:t xml:space="preserve">Veličina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b/>
                <w:bCs/>
              </w:rPr>
              <w:suppressLineNumbers w:val="0"/>
            </w:pPr>
            <w:r>
              <w:rPr>
                <w:b/>
                <w:bCs/>
              </w:rPr>
              <w:t xml:space="preserve">Promet (EUR)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b/>
                <w:bCs/>
              </w:rPr>
              <w:suppressLineNumbers w:val="0"/>
            </w:pPr>
            <w:r>
              <w:rPr>
                <w:b/>
                <w:bCs/>
              </w:rPr>
              <w:t xml:space="preserve">Neto dobit (EUR)</w:t>
            </w:r>
            <w:r>
              <w:rPr>
                <w:b/>
                <w:bCs/>
              </w:rPr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b/>
                <w:bCs/>
              </w:rPr>
              <w:suppressLineNumbers w:val="0"/>
            </w:pPr>
            <w:r>
              <w:rPr>
                <w:b/>
                <w:bCs/>
              </w:rPr>
              <w:t xml:space="preserve">Broj zaposlenih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4321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Postavljanje električnih instalacija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4.056.551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1.743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6</w:t>
            </w:r>
            <w:r/>
          </w:p>
        </w:tc>
      </w:tr>
      <w:tr>
        <w:trPr>
          <w:trHeight w:val="52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4299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ostalih nepomenutih građevina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2.293.263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8.887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85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4211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puteva i autoputeva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Veliko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34.240.759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3.621.692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303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4211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puteva i autoputeva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4.401.396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6.144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8.986.898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267.555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167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4.798.705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9.802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34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D3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4.330.012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-15.451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4.005.814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107.909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23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3.992.218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111.413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8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3.365.793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265.470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E2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2.757.212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53.317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E2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2.343.325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-3.307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2.142.547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270.760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1.843.141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54.172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1.829.920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250.830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D3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1.820.563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717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E2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1.796.813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8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1.703.877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79.630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0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1.685.913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21.433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0</w:t>
            </w:r>
            <w:r/>
          </w:p>
        </w:tc>
      </w:tr>
    </w:tbl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Ova struktura pokazuje da sektor kombinuje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jednog velikog lidera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 nekoliko srednjih firmi, dok veliki broj malih preduzeća čini „donju bazu“ građevinskog tržišta.</w:t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36"/>
          <w:szCs w:val="36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</w:rPr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Građevinska industrija u Novom Pazaru obuhvata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665 zaposlenih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raspoređenih 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19 preduzeća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pStyle w:val="1987"/>
        <w:numPr>
          <w:ilvl w:val="0"/>
          <w:numId w:val="375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Najveće preduzeće zapošljava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303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 bavi se izgradnjom puteva i autoputeva,</w:t>
      </w:r>
      <w:r/>
    </w:p>
    <w:p>
      <w:pPr>
        <w:pStyle w:val="1987"/>
        <w:numPr>
          <w:ilvl w:val="0"/>
          <w:numId w:val="375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Druga po veličini je firma sa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167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specijalizovana za stambenu i nestambenu gradnju,</w:t>
      </w:r>
      <w:r/>
    </w:p>
    <w:p>
      <w:pPr>
        <w:pStyle w:val="1987"/>
        <w:numPr>
          <w:ilvl w:val="0"/>
          <w:numId w:val="375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Ostala preduzeća su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mala ili mikro firme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sa 1–85 zaposlenih.</w:t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Ova struktura pokazuje da sektor ima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jednog dominantnog poslodavca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nekoliko srednjih i veliki broj mikro firmi koje doprinose ukupnom broju zaposlenih.</w:t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36"/>
          <w:szCs w:val="36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36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Prihodi i profitabilnost: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Ukupan promet sektora premašuje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77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pri čemu: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6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Najveće firme u izgradnji puteva i autoputeva ostvaruju promet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34,2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4,4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6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Stambena i nestambena gradnja beleži promet između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1,7 miliona i 9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po firmi,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6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Manje firme koje se bave instalacijama i specijalizovanim radovima ostvaruju između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1,8 i 4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prometa.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Dobit sektora je heterogena: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7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Najveće preduzeće (303 zaposlena) ostvaruje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rekordnu dobit od 3,6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7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Nekoliko manjih firmi beleži skromne dobiti (5.000–100.000 EUR),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7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Tri preduzeća posluju sa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negativnim rezultatom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(npr. -15.451 EUR i -3.307 EUR), što ukazuje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nestabilnost kod mikro i malih firmi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Bonitet i ocene: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je raznolik po bonitetu: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8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Najveće i najprofitabilnije firme imaju ocene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B1 i C1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ukazuje na relativno stabilno poslovanje,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8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Veći deo sektora nalazi se u rangu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C2 i C3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ukazuje na umeren rizik,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8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Nekoliko firmi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 i E ocene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koje označavaju visoku rizičnost i slabiju finansijsku stabilnost.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8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Ovo potvrđuje da, iako građevinski sektor u celini donosi značajan prihod i zapošljava veliki broj ljudi, njegova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finansijska stabilnost je neujednačena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Uloga u lokalnoj privredi: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Građevinarstvo u Novom Pazaru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strateški značaj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jer: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9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Povezano je sa razvojem infrastrukture (putevi, zgrade, objekti javne namene),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9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Kreira veliki broj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radnih mesta za niže i srednje kvalifikovanu radnu snagu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9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Omogućava širenje drugih sektora, posebno trgovine i proizvodnje građevinskog materijala.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79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Posebno treba istaći izgradnju puteva i autoputeva, koja predstavlja najveći segment ovog sektora i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direktan uticaj na povezanost i ekonomsku dinamiku regiona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Izazovi: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0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Velika zavisnost od javnih tendera i investicija,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0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Nelojalna konkurencija i niske marže kod mikro firmi,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0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Nedostatak kvalifikovane radne snage i odliv kadrova u inostranstvo,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0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Potreba za modernizacijom opreme i tehnologija.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Perspektive: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1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Nastavak ulaganja u infrastrukturu (putevi, vodovod, stambena izgradnja),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1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Razvoj partnerstva sa većim građevinskim kompanijama iz Srbije i regiona,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1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Mogućnost izvoza građevinskih usluga u druge opštine i države,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1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Uvođenje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održivih i energetski efikasnih tehnologija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 gradnji.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Građevinska industrija u Novom Pazaru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665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ostvaruje promet od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77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Sektor je istovremeno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ključan za ekonomski razvoj grada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izvor brojnih radnih mesta, ali 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finansijski neujednačen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dominiraju velika i srednja preduzeća, dok manja i mikro firme često posluju sa minimalnom dobiti ili gubicima. Njegova budućnost zavisi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državnih i lokalnih investicija, modernizacije i povećanja konkurentnosti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left"/>
        <w:spacing w:before="0" w:after="0"/>
        <w:suppressLineNumbers w:val="0"/>
      </w:pPr>
      <w:r/>
      <w:r/>
    </w:p>
    <w:p>
      <w:pPr>
        <w:contextualSpacing w:val="0"/>
        <w:jc w:val="left"/>
        <w:spacing w:before="0" w:after="0"/>
        <w:suppressLineNumbers w:val="0"/>
      </w:pPr>
      <w:r/>
      <w:r/>
    </w:p>
    <w:p>
      <w:pPr>
        <w:contextualSpacing w:val="0"/>
        <w:jc w:val="left"/>
        <w:spacing w:before="0" w:after="0"/>
        <w:suppressLineNumbers w:val="0"/>
      </w:pPr>
      <w:r>
        <w:br w:type="page" w:clear="all"/>
      </w:r>
      <w:r/>
    </w:p>
    <w:p>
      <w:pPr>
        <w:pStyle w:val="1807"/>
        <w:rPr>
          <w:sz w:val="32"/>
          <w:szCs w:val="32"/>
        </w:rPr>
        <w:suppressLineNumbers w:val="0"/>
      </w:pPr>
      <w:r/>
      <w:bookmarkStart w:id="4" w:name="_Toc4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2. Javna komunalna preduzeća (JKP)</w:t>
      </w:r>
      <w:r/>
      <w:bookmarkEnd w:id="4"/>
      <w:r/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 okviru 100 najvećih firmi u Novom Pazaru,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javna komunalna preduzeća (JKP)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zapošljavaju ukupno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509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raspoređenih u dva velika preduzeća:</w:t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tbl>
      <w:tblPr>
        <w:tblStyle w:val="1839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709"/>
        <w:gridCol w:w="850"/>
        <w:gridCol w:w="1134"/>
        <w:gridCol w:w="1134"/>
        <w:gridCol w:w="141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Šifra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Naziv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Bonitetna ocena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Veličina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Promet (EUR)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Neto dobit (EUR)</w:t>
            </w:r>
            <w:r>
              <w:rPr>
                <w:b/>
                <w:bCs/>
              </w:rPr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Broj zaposlenih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3811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Skupljanje otpada koji nije opasan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5.846.708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530.582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296</w:t>
            </w:r>
            <w:r/>
          </w:p>
        </w:tc>
      </w:tr>
      <w:tr>
        <w:trPr>
          <w:trHeight w:val="52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3600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Skupljanje, prečišćavanje i distribucija vode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4.417.839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21.655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213</w:t>
            </w:r>
            <w:r/>
          </w:p>
        </w:tc>
      </w:tr>
    </w:tbl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Novom Pazaru u okviru top 100 firmi identifikovana su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dva JKP-a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koja zapošljavaju ukupno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509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JKP za skupljanje otpada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296 zaposlenih,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JKP Vodovod i kanalizacija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213 zaposlenih.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 brojka jasno pokazuje da JKP sektor predstavlja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jednog od najvećih poslodavaca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 lokalnoj ekonomiji, sa stabilnim i dugoročnim radnim mestima, često vezanim za usluge od opšteg interesa.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Prihodi i profitabilnost: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Ukupan promet ova dva JKP-a iznosi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10,2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2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Najveći prihod ostvaruje JKP „Čistoća“ sa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5,8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2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JKP Vodovod ostvaruje prihod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4,4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Neto dobit pokazuje značajne razlike: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3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JKP „Čistoća“ beleži solidnu dobit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530.582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3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JKP Vodovod beleži minimalnu dobit od svega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21.655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ukazuje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finansijsku ranjivost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tesnu maržu u poslovanju.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Bonitet i ocene: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4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JKP Čistoća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ima bonitetnu ocenu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C3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znači umereni rizik – stabilno posluje, ali uz ograničen manevarski prostor u finansijama.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4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JKP Vodovod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ima ocenu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C1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ukazuje na nešto stabilnije finansijsko poslovanje, ali i dalje sa mogućnošću ranjivosti u slučaju većih troškova ili investicija.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Uloga u lokalnoj privredi i društvu: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JKP sektor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strateški značaj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jer obezbeđuje osnovne javne usluge: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Sakupljanje i odvoz otpada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ključna funkcija za očuvanje higijene i zdravlja u gradu,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5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Vodosnabdevanje i kanalizacija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osnovna komunalna infrastruktura bez koje nije moguće funkcionisanje privrede ni domaćinstava.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Ove usluge su deo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javnog interesa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znači da stabilnost JKP sektora direktno utiče na kvalitet života građana i poslovni ambijent u gradu.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Izazovi: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6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Nedovoljna profitabilnost (posebno Vodovoda),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6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Potreba za modernizacijom infrastrukture i opreme,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6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Rast operativnih troškova (energija, održavanje),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6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Naplata usluga i finansijska disciplina korisnika.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Perspektive: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7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Mogućnost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uvođenja zelenih tehnologija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 upravljanju otpadom,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7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Modernizacija sistema za vodosnabdevanje i smanjenje gubitaka u mreži,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7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Povećanje efikasnosti kroz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digitalizaciju i bolju organizaciju rada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7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Partnerstva sa privatnim sektorom i međunarodnim donatorima za finansiranje investicija.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JKP u Novom Pazaru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više od 500 ljudi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ostvaruje promet od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10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ali uz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velike razlike u profitabilnosti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Dok JKP „Čistoća“ posluje stabilno i beleži dobit, JKP Vodovod se nalazi u osetljivoj finansijskoj situaciji. Ovaj sektor ostaje stub lokalne infrastrukture i životnog standarda, pa je njegova dalja modernizacija i profesionalizacija ključna za razvoj gr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ada i privrede.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3. Proizvodnja nameštaja</w:t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 okviru 100 najvećih preduzeća u Novom Pazaru, sektor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proizvodnje nameštaja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zapošljava ukupno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453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raspoređenih u nekoliko firmi:</w:t>
      </w:r>
      <w:r/>
    </w:p>
    <w:p>
      <w:pPr>
        <w:pStyle w:val="1987"/>
        <w:numPr>
          <w:ilvl w:val="0"/>
          <w:numId w:val="388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Najveća kompanija u ovom sektoru ima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160 zaposlenih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/>
    </w:p>
    <w:p>
      <w:pPr>
        <w:pStyle w:val="1987"/>
        <w:numPr>
          <w:ilvl w:val="0"/>
          <w:numId w:val="388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Dve srednje firme zapošljavaju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88 i 87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/>
    </w:p>
    <w:p>
      <w:pPr>
        <w:pStyle w:val="1987"/>
        <w:numPr>
          <w:ilvl w:val="0"/>
          <w:numId w:val="388"/>
        </w:num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Manja preduzeća imaju između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42 i 76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tbl>
      <w:tblPr>
        <w:tblStyle w:val="1839"/>
        <w:tblW w:w="0" w:type="auto"/>
        <w:tblInd w:w="-142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709"/>
        <w:gridCol w:w="850"/>
        <w:gridCol w:w="1134"/>
        <w:gridCol w:w="1134"/>
        <w:gridCol w:w="141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Šifra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Naziv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Bonitetna ocena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Veličina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Promet (EUR)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Neto dobit (EUR)</w:t>
            </w:r>
            <w:r>
              <w:rPr>
                <w:b/>
                <w:bCs/>
              </w:rPr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Broj zaposlenih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3109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Proizvodnja ostalog nameštaja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7.567.702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574.473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160</w:t>
            </w:r>
            <w:r/>
          </w:p>
        </w:tc>
      </w:tr>
      <w:tr>
        <w:trPr>
          <w:trHeight w:val="52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3109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Proizvodnja ostalog nameštaja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4.674.600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261.308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88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3109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Proizvodnja ostalog nameštaja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3.079.624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509.123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87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3101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Proizvodnja nameštaja za poslovne i prodajne prostore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4.391.500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504.158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76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3101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83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Proizvodnja nameštaja za poslovne i prodajne prostore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1.825.639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70.751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1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42</w:t>
            </w:r>
            <w:r/>
          </w:p>
        </w:tc>
      </w:tr>
    </w:tbl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 struktura pokazuje da se sektor oslanja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nekoliko snažnih srednjih i većih firmi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dok manji proizvođači dopunjuju tržište kroz specijalizovane proizvode i niše.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sektoru proizvodnje nameštaja identifikovano je ukupno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 preduzeća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453 zaposlena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Struktura je sledeća: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9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Najveće preduzeće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160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9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Dva srednje velika imaju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76 i 88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89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Dva manja zapošljavaju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42 i 87 ljudi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je dakle značajan poslodavac u lokalnoj privredi i ujedno jedan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najorganizovanijih industrijskih segmenata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sa kombinacijom srednjih i manjih firmi.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Prihodi i profitabilnost: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Ukupan promet ovih pet firmi prelazi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21,5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0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Najveći prihod beleži firma sa 160 zaposlenih –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7,5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0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Ostala preduzeća ostvaruju promet između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1,8 i 4,6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Dobit sektora je takođe stabilna i značajna: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1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Najprofitabilnije preduzeće ostvaruje dobit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574.473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1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Ostale firme beleže dobit u rasponu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70.751 do 509.123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1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Ukupna neto dobit sektora iznosi oko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1,9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je veoma solidan rezultat u odnosu na veličinu sektora i broj zaposlenih.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Bonitet i veličina firmi: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Preduzeća imaju različite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bonitetne ocene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2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Najbolje ocenjena su ona sa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A3 i B1–B3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ukazuje na stabilno poslovanje,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2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Najslabije ocenjena ima ocenu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C3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ali i pored toga ostvaruje stabilan promet i dobit.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 veličini, u sektoru dominiraju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mala i srednja preduzeća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dok velikih firmi nema. To znači da sektor funkcioniše kao skup nekoliko jakih, ali i dalje fleksibilnih sistema.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Uloga u privredi: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 obzirom da Novi Pazar ima tradiciju tekstilne i drvne industrije, proizvodnja nameštaja predstavlja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logičan nastavak razvoja prerađivačkog sektora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393"/>
        </w:num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Povezana je sa sektorom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rezanja i obrade drveta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(84 zaposlena), koji obezbeđuje deo sirovina,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393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Ima potencijal za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izvoz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posebno kroz specijalizovane proizvode i dizajnerski nameštaj,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3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Kreira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stabilna radna mesta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često sa višim kvalifikacijama u odnosu na druge grane (drvna i tekstilna obrada).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Izazovi: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4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Konkurencija iz uvoza (posebno jeftin nameštaj iz Azije),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4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Troškovi sirovina i transporta,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4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Potreba za inovacijama i modernizacijom proizvodnih linija.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Perspektive: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5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Jačanje dizajna i brendiranja nameštaja iz Novog Pazara,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5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Povezivanje sa domaćim i regionalnim distributerima,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5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Izvoz u zemlje EU i regiona,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5"/>
        </w:num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Razvoj proizvoda za ugostiteljski i poslovni sektor (opremanje hotela, restorana, kancelarija).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Zaključak: 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proizvodnje nameštaja u Novom Pazaru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453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ostvaruje promet od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21,5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uz ukupnu neto dobit od gotovo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U pitanju 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stabilan i rastući sektor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sa značajnim potencijalom za izvoz i modernizaciju. Povezanost sa drvopreradom i građevinskom industrijom dodatno povećava njegov značaj u lokalnoj ekonomiji.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suppressLineNumbers w:val="0"/>
      </w:pPr>
      <w:r/>
      <w:r/>
    </w:p>
    <w:p>
      <w:pPr>
        <w:contextualSpacing w:val="0"/>
        <w:jc w:val="left"/>
        <w:spacing w:before="0" w:after="0"/>
        <w:suppressLineNumbers w:val="0"/>
      </w:pPr>
      <w:r>
        <w:br w:type="page" w:clear="all"/>
      </w:r>
      <w:r/>
    </w:p>
    <w:p>
      <w:pPr>
        <w:pStyle w:val="1807"/>
        <w:rPr>
          <w:sz w:val="32"/>
          <w:szCs w:val="32"/>
        </w:rPr>
        <w:suppressLineNumbers w:val="0"/>
      </w:pPr>
      <w:r/>
      <w:bookmarkStart w:id="5" w:name="_Toc5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4. Trgovina na veliko</w:t>
      </w:r>
      <w:r/>
      <w:bookmarkEnd w:id="5"/>
      <w:r/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36"/>
          <w:szCs w:val="36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 okviru 100 najvećih firmi u Novom Pazaru, sektor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trgovine na veliko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zapošljava ukupno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441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raspoređenih u čak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24 preduzeća različite veličine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To je jedna od grana sa najšire rasprostranjenom strukturom, što ukazuje na značaj i dubinu ovog sektora u lokalnoj privredi.</w:t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Raspodela zaposlenosti po firmama izgleda ovako:</w:t>
      </w:r>
      <w:r/>
    </w:p>
    <w:p>
      <w:pPr>
        <w:pStyle w:val="1987"/>
        <w:numPr>
          <w:ilvl w:val="0"/>
          <w:numId w:val="396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Najveća preduzeća u ovom sektoru imaju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45 i 44 zaposlena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/>
    </w:p>
    <w:p>
      <w:pPr>
        <w:pStyle w:val="1987"/>
        <w:numPr>
          <w:ilvl w:val="0"/>
          <w:numId w:val="396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Slede firme sa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40, 34 i 33 zaposlena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/>
    </w:p>
    <w:p>
      <w:pPr>
        <w:pStyle w:val="1987"/>
        <w:numPr>
          <w:ilvl w:val="0"/>
          <w:numId w:val="396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Srednji segment čine brojne firme sa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16–32 zaposlena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/>
    </w:p>
    <w:p>
      <w:pPr>
        <w:pStyle w:val="1987"/>
        <w:numPr>
          <w:ilvl w:val="0"/>
          <w:numId w:val="396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Manje firme se kreću u rasponu od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 do 15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/>
    </w:p>
    <w:p>
      <w:pPr>
        <w:pStyle w:val="1987"/>
        <w:numPr>
          <w:ilvl w:val="0"/>
          <w:numId w:val="396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Na dnu strukture su firme sa samo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1–2 zaposlena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ali koje ipak ulaze među 100 najvećih jer ostvaruju značajan promet.</w:t>
      </w:r>
      <w:r/>
    </w:p>
    <w:tbl>
      <w:tblPr>
        <w:tblStyle w:val="1839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2713"/>
        <w:gridCol w:w="850"/>
        <w:gridCol w:w="992"/>
        <w:gridCol w:w="1134"/>
        <w:gridCol w:w="838"/>
        <w:gridCol w:w="114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Šifra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Naziv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Bonitetna ocena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Veličina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Promet (EUR)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Neto dobit (EUR)</w:t>
            </w:r>
            <w:r>
              <w:rPr>
                <w:b/>
                <w:bCs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Broj zaposlenih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17.745.688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87.544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44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7.929.879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165.474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40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5.947.712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76.109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33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5.322.758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60.282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27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3.504.741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27.158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26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3.074.292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88.826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2.942.454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33.944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7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2.594.131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58.026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6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1.879.666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102.345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1.824.331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60.539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E3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1.702.646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-308.764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</w:t>
            </w:r>
            <w:r/>
          </w:p>
        </w:tc>
      </w:tr>
      <w:tr>
        <w:trPr>
          <w:trHeight w:val="126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4674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na veliko metalnom robom, instalacionim materijalima, opremom i priborom za grejanje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2.176.415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115.566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17</w:t>
            </w:r>
            <w:r/>
          </w:p>
        </w:tc>
      </w:tr>
      <w:tr>
        <w:trPr>
          <w:trHeight w:val="8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4673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na veliko drvetom, građevinskim materijalom i sanitarnom opremom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23.659.636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174.131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32</w:t>
            </w:r>
            <w:r/>
          </w:p>
        </w:tc>
      </w:tr>
      <w:tr>
        <w:trPr>
          <w:trHeight w:val="70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4673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na veliko drvetom, građevinskim materijalom i sanitarnom opremom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D3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8.158.935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82.895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16</w:t>
            </w:r>
            <w:r/>
          </w:p>
        </w:tc>
      </w:tr>
      <w:tr>
        <w:trPr>
          <w:trHeight w:val="79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4673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na veliko drvetom, građevinskim materijalom i sanitarnom opremom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6.620.686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138.717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16</w:t>
            </w:r>
            <w:r/>
          </w:p>
        </w:tc>
      </w:tr>
      <w:tr>
        <w:trPr>
          <w:trHeight w:val="81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4673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na veliko drvetom, građevinskim materijalom i sanitarnom opremom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1.703.483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36.046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</w:t>
            </w:r>
            <w:r/>
          </w:p>
        </w:tc>
      </w:tr>
      <w:tr>
        <w:trPr>
          <w:trHeight w:val="57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4646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na veliko farmaceutskim proizvodima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2.005.770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33.354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9</w:t>
            </w:r>
            <w:r/>
          </w:p>
        </w:tc>
      </w:tr>
      <w:tr>
        <w:trPr>
          <w:trHeight w:val="69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4643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na veliko električnim aparatima za domaćinstvo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4.361.709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96.662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4641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na veliko tekstilom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6.670.858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844.046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4641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na veliko tekstilom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2.344.624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24.227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10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4641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na veliko tekstilom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2.228.305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118.557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7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4641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na veliko tekstilom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2.122.464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38.764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</w:t>
            </w:r>
            <w:r/>
          </w:p>
        </w:tc>
      </w:tr>
      <w:tr>
        <w:trPr>
          <w:trHeight w:val="72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4639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Nespecijalizovana trgovina na veliko hranom, pićima i duvanom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16.213.772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158.962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34</w:t>
            </w:r>
            <w:r/>
          </w:p>
        </w:tc>
      </w:tr>
      <w:tr>
        <w:trPr>
          <w:trHeight w:val="80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na veliko šećerom, čokoladom i slatkišima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1.846.610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52.548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11</w:t>
            </w:r>
            <w:r/>
          </w:p>
        </w:tc>
      </w:tr>
      <w:tr>
        <w:trPr>
          <w:trHeight w:val="98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4621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na veliko žitom, sirovim duvanom, semenjem i hranom za životinje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3.354.222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67.170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6</w:t>
            </w:r>
            <w:r/>
          </w:p>
        </w:tc>
      </w:tr>
    </w:tbl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 struktura pokazuje da sektor kombinuje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srednje jake distributivne firme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mnoštvo manjih veletrgovaca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koji često pokrivaju specijalizovane niše.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ovom sektoru identifikovano 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25 preduzeća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ukupno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441 zaposlenim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Broj zaposlenih je raspoređen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 do 45 radnika po firmi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pri čemu: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Najveći poslodavci su 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trgovini tekstilom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nespecijalizovanoj trgovini hranom i pićem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(po 34–45 radnika),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Većina preduzeća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5–30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Pojedina mikro preduzeća imaju samo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1–2 zaposlena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 struktura ukazuje da se sektor oslanja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mrežu malih firmi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nekoliko srednje velikih kompanija koje nose veći deo prometa i zapošljavanja.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Prihodi i profitabilnost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Ukupan promet sektora iznosi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više od 120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Najznačajniji prihodi dolaze iz sledećih grana: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Trgovina građevinskim materijalom i sanitarijama (4673)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najveće preduzeće ostvaruje promet od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23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Nespecijalizovana trgovina hranom, pićem i duvanom (4639)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promet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16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Nespecijalizovana trgovina na veliko (4690)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nekoliko firmi sa prometom između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7–17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Trgovina tekstilom (4641)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vodeće firme ostvaruju između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 i 6,6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Što se tiče neto dobiti: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Najveće profite beleže firme iz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trgovine tekstilom (844.046 EUR)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građevinskim materijalom (174.131 EUR)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Više firmi posluje stabilno sa dobiti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50.000 do 150.000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39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Nekoliko preduzeća beleži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negativne rezultate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uključujući jedno sa gubitkom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-308.764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Bonitet i veličina firmi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Bonitetne ocene variraju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A2 (najbolje ocene, stabilne firme)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do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E3 (visok rizik)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Najbolje ocenjene firme su 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trgovini tekstilom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građevinskim materijalom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Većina preduzeća se kreće u rangu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 i C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ukazuje na umerenu stabilnost uz određene rizike,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Nekoliko firmi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 i E ocene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označava ozbiljne izazove u poslovanju.</w:t>
      </w:r>
      <w:r>
        <w:rPr>
          <w:sz w:val="24"/>
          <w:szCs w:val="24"/>
        </w:rPr>
      </w:r>
      <w:r/>
    </w:p>
    <w:p>
      <w:pPr>
        <w:contextualSpacing w:val="0"/>
        <w:ind w:left="0" w:firstLine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ind w:left="0" w:firstLine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 veličini, sva preduzeća su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mala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osim dva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srednja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(4673 – trgovina građevinskim materijalom i sanitarijama).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Uloga u lokalnoj privredi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Trgovina na veliko ima stratešku ulogu u privredi Novog Pazara jer: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Podržava maloprodaju i proizvodne sektore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kroz snabdevanje sirovinama i robom,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Omogućava plasman proizvoda lokalnih proizvođača (tekstil, nameštaj, građevina) na širem tržištu,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Zapošljava stabilan broj ljudi, najčešće u manjim timovima,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Stvara značajne prihode i poreze kroz velike obime prometa.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Izazovi: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Velika zavisnost od spoljnog tržišta i oscilacija u cenama roba,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Visok rizik kod dela preduzeća (lošije bonitetne ocene),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Konkurencija sa većim distributivnim lancima iz drugih gradova.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Perspektive: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Dalja specijalizacija u trgovini građevinskim materijalom i tekstilom,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Povezivanje sa maloprodajnim lancima i izvozom,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Digitalizacija i logistička modernizacija (uvođenje online veleprodaje, praćenje lagera i transporta).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trgovine na veliko u Novom Pazaru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441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ostvaruje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120 miliona EUR prometa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Strukturu čine mahom mala preduzeća, dok nekoliko srednje velikih firmi ima ključnu ulogu u prometu i stabilnosti sektora. S obzirom na značaj u lancu snabdevanja, trgovina na veliko predstavlja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jedan od najvažnijih stubova lokalne privrede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ali je potrebno da se dalje razvija kroz modernizaciju i povezivanje sa međunarodnim tržištima.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sz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807"/>
        <w:rPr>
          <w:sz w:val="32"/>
          <w:szCs w:val="32"/>
        </w:rPr>
        <w:suppressLineNumbers w:val="0"/>
      </w:pPr>
      <w:r/>
      <w:bookmarkStart w:id="6" w:name="_Toc6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5. Drumski prevoz tereta</w:t>
      </w:r>
      <w:r/>
      <w:bookmarkEnd w:id="6"/>
      <w:r/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Struktura zaposlenosti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okviru 100 najvećih preduzeća u Novom Pazaru, sektor drumskog prevoza tereta zapošljava ukupno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480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raspoređenih u više preduzeća različite veličine. Struktura sektora pokazuje da postoji nekoliko srednje velikih firmi koje zapošljavaju veći broj radnika i čine okosnicu ove delatnosti, dok ostatak čini veći broj manjih firmi sa relativno skromnim brojem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zaposlenih.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Raspodela po firmama izgleda ovako: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6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Najveće preduzeće u ovom sektoru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109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6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Drugo po veličini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82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6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Sledeća dva zapošljavaju po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64 i 38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6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Ostala preduzeća kreću se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29 zaposlenih pa naniže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uključujući više manjih sa svega 5–22 zaposlena,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6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Najmanje firme u sektoru imaju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 5–7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tbl>
      <w:tblPr>
        <w:tblStyle w:val="1839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2572"/>
        <w:gridCol w:w="709"/>
        <w:gridCol w:w="992"/>
        <w:gridCol w:w="1276"/>
        <w:gridCol w:w="979"/>
        <w:gridCol w:w="114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Šifra delatnosti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Naziv delatnosti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Bonitetna ocena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Veličina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Promet (EUR)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Neto dobit (EUR)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Broj zaposlenih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4941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Drumski prevoz tereta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C3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Srednje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9.719.326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3.298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109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4941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Drumski prevoz tereta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C3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Srednje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8.758.380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935.171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82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4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4941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Drumski prevoz tereta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B2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6.937.714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27.876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64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4941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Drumski prevoz tereta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C3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3.583.372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46.865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38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4941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Drumski prevoz tereta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B1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3.293.503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60.744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29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4941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Drumski prevoz tereta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B3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2.403.582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40.627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22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4941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Drumski prevoz tereta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2.056.968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-86.365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21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4941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Drumski prevoz tereta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C2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Mikro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1.943.957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50.489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20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4941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Drumski prevoz tereta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C1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1.729.283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100.457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17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4941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Drumski prevoz tereta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C2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1.645.756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75.870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16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4941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Drumski prevoz tereta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1.645.055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10.648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10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4941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Drumski prevoz tereta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B1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1.641.961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25.475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7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4941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57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Drumski prevoz tereta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B2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76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1.626.314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79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130.786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5</w:t>
            </w:r>
            <w:r>
              <w:rPr>
                <w:sz w:val="22"/>
                <w:szCs w:val="22"/>
              </w:rPr>
            </w:r>
            <w:r/>
          </w:p>
        </w:tc>
      </w:tr>
    </w:tbl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 struktura ukazuje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visoku fragmentaciju sektora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gde nekoliko srednjih preduzeća ima ključnu ulogu, ali značajan deo ukupne zaposlenosti dolazi od većeg broja manjih transportnih kompanija.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ovom sektoru identifikovano 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13 preduzeća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ukupno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439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Struktura pokazuje: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Najveće firme zapošljavaju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100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(109 i 82),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Srednja preduzeća zapošljavaju između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30–70 ljudi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Najmanje firme imaju svega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5–10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 podela ukazuje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raznolikost sektora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od velikih sistema sa regionalnim značajem do malih prevoznika koji posluju lokalno.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Prihodi i profitabilnost: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Ukupan promet u sektoru prelazi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46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a po firmama se kreće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9,7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kod najvećih, do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1,6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kod manjih.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Najveći prihod ostvaruje firma sa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109 zaposlenih i prometom od 9,7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Druga najveća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8,7 miliona EUR prometa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uz 82 radnika,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Najmanje firme ostvaruju prihode od 1,6–2 miliona EUR.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Neto dobit oscilira: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Najveća pozitivna dobit beleži firma sa 82 zaposlena (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935.171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Nekoliko firmi posluje stabilno, sa dobiti između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50.000–130.000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Najslabije ocenjena firma beleži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gubitak od -86.365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Ovo pokazuje da, iako sektor kao celina ostvaruje solidan promet,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profitabilnost je neujednačena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zavisi od efikasnosti poslovanja i boniteta firme.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Bonitet i veličina firmi: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Preduzeća imaju različite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bonitetne ocene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Najbolje ocenjene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su firme sa ocenom B1 i B2 (pokazuju stabilno poslovanje i pozitivne rezultate),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Većina je u rangu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C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(C1, C2, C3), što znači da posluju sa određenim rizikom,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Jedna firma ima ocenu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D2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posluje sa gubitkom, što ukazuje na nestabilnost.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 veličini, sektor se sastoji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mikro, malih i srednjih preduzeća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ali većinu zaposlenih nose srednja preduzeća sa preko 60 ljudi.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Uloga u privredi: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Drumski prevoz tereta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strateški značaj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za Novi Pazar jer: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Povezuje lokalnu proizvodnju (odeća, nameštaj, hrana) sa regionalnim i međunarodnim tržištima,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Omogućava trgovini na veliko i malo da funkcioniše kroz stabilne lance snabdevanja,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Zapošljava značajan broj ljudi, posebno sa srednjim kvalifikacijama.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Zbog geografskog položaja Novog Pazara i snažne trgovačke tradicije, ovaj sektor ima ulogu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logističkog kičmenog stuba lokalne ekonomije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Izazovi: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Konkurencija i pritisak na cene,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Rast troškova goriva i održavanja voznog parka,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Problemi sa naplatom potraživanja i stabilnošću manjih firmi,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Nedostatak kvalifikovanih vozača i logističkog kadra.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Perspektive: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Jačanje saradnje sa proizvodnim sektorom u Novom Pazaru (tekstil, drvoprerada, građevinarstvo),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Modernizacija voznog parka i prelazak na ekološki prihvatljivija vozila,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Digitalizacija i optimizacija transportnih procesa (GPS praćenje, e-logistika),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Potencijal za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regionalnu ekspanziju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razvoj klastera prevoznika.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drumskog prevoza tereta u Novom Pazaru zapošljava skoro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440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ostvaruje promet od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46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Iako su pojedine firme visoko profitabilne i stabilne, sektor 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neujednačen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deo preduzeća posluje sa minimalnim dobicima ili gubicima. Njegov značaj je ključan za funkcionisanje lokalne privrede, a dalji razvoj zavisi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modernizacije, efikasnosti i integracije sa proizvodnim granama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807"/>
        <w:rPr>
          <w:sz w:val="32"/>
          <w:szCs w:val="32"/>
        </w:rPr>
        <w:suppressLineNumbers w:val="0"/>
      </w:pPr>
      <w:r/>
      <w:bookmarkStart w:id="7" w:name="_Toc7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6. Trgovina na malo</w:t>
      </w:r>
      <w:r/>
      <w:bookmarkEnd w:id="7"/>
      <w:r/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okviru 100 najvećih preduzeća u Novom Pazaru, sektor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trgovine na malo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zapošljava ukupno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314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raspoređenih u više firmi različite veličine. Struktura sektora pokazuje veliku fragmentaciju – umesto jednog ili dva dominantna poslodavca, imamo niz manjih trgovinskih firmi sa sledećim brojem zaposlenih: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Najveće firme u ovom sektoru imaju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45, 39 i 38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Srednji segment čine preduzeća sa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34, 27, 26, 19 i 15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Ostatak čine brojna manja preduzeća sa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8–14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 dnu strukture nalaze se firme sa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 ili manje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uključujući nekoliko sa samo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2–3 zaposlena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pa čak i jedno sa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0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 trenutku evidentiranja.</w:t>
      </w:r>
      <w:r>
        <w:rPr>
          <w:sz w:val="24"/>
          <w:szCs w:val="24"/>
        </w:rPr>
      </w:r>
      <w:r/>
    </w:p>
    <w:tbl>
      <w:tblPr>
        <w:tblStyle w:val="1839"/>
        <w:tblW w:w="0" w:type="auto"/>
        <w:tblLayout w:type="fixed"/>
        <w:tblLook w:val="04A0" w:firstRow="1" w:lastRow="0" w:firstColumn="1" w:lastColumn="0" w:noHBand="0" w:noVBand="1"/>
      </w:tblPr>
      <w:tblGrid>
        <w:gridCol w:w="708"/>
        <w:gridCol w:w="3260"/>
        <w:gridCol w:w="850"/>
        <w:gridCol w:w="992"/>
        <w:gridCol w:w="1134"/>
        <w:gridCol w:w="838"/>
        <w:gridCol w:w="114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Šifra delatnosti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Naziv delatnosti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Bonitetna ocena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Veličina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Promet (EUR)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Neto dobit (EUR)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szCs w:val="22"/>
                <w:u w:val="none"/>
              </w:rPr>
              <w:t xml:space="preserve">Broj zaposlenih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4779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polovnom robom u prodavnicama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A2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1.618.195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62.316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34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4773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farmaceutskim proizvodima u specijalizovanim prodavnicama – apotekama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C2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2.857.926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37.986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27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4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4773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farmaceutskim proizvodima u specijalizovanim prodavnicama – apotekama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B3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1.654.302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36.516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19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4759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nameštajem, opremom za osvetljenje i ostalim predmetima za domaćinstvo u specijalizovanim prodavnicama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A3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3.306.459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309.405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38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4752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metalnom robom, bojama i staklom u specijalizovanim prodavnicama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A3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5.372.478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358.150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45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4752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metalnom robom, bojama i staklom u specijalizovanim prodavnicama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C2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2.409.718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35.226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10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4730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motornim gorivima u specijalizovanim prodavnicama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B3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Srednje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11.934.745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296.543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39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4730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motornim gorivima u specijalizovanim prodavnicama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C2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5.711.836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197.949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26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4730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motornim gorivima u specijalizovanim prodavnicama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A3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4.107.058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12.032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15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4730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motornim gorivima u specijalizovanim prodavnicama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C2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3.363.229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58.240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8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4730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motornim gorivima u specijalizovanim prodavnicama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A1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2.185.935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87.664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6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4719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Ostala trgovina na malo u nespecijalizovanim prodavnicama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B2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7.219.260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63.470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10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4719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Ostala trgovina na malo u nespecijalizovanim prodavnicama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B1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2.271.009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128.983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4719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Ostala trgovina na malo u nespecijalizovanim prodavnicama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B1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Mikro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1.661.301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16.690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0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4711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u nespecijalizovanim prodavnicama, pretežno hranom, pićima i duvanom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E3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2.310.116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28.261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14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4711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u nespecijalizovanim prodavnicama, pretežno hranom, pićima i duvanom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C2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2.103.501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43.609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8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4711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u nespecijalizovanim prodavnicama, pretežno hranom, pićima i duvanom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B2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2.049.414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65.940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5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4711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u nespecijalizovanim prodavnicama, pretežno hranom, pićima i duvanom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B2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1.941.778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101.252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</w:t>
            </w:r>
            <w:r>
              <w:rPr>
                <w:sz w:val="22"/>
                <w:szCs w:val="22"/>
              </w:rPr>
            </w:r>
            <w:r/>
          </w:p>
        </w:tc>
      </w:tr>
      <w:tr>
        <w:trPr>
          <w:trHeight w:val="27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8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4711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26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Trgovina na malo u nespecijalizovanim prodavnicama, pretežno hranom, pićima i duvanom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D1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both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Malo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1.645.064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15.579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sz w:val="22"/>
                <w:szCs w:val="22"/>
              </w:rPr>
              <w:t xml:space="preserve">3</w:t>
            </w:r>
            <w:r>
              <w:rPr>
                <w:sz w:val="22"/>
                <w:szCs w:val="22"/>
              </w:rPr>
            </w:r>
            <w:r/>
          </w:p>
        </w:tc>
      </w:tr>
    </w:tbl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Ovakva raspodela ukazuje da je sektor trgovine na malo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vrlo rascepkan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bez jakog lanca ili brenda koji dominira, što je karakteristika lokalnih privreda koje se oslanjaju na mikro i mala preduzeća.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ovom sektoru je evidentirano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18 preduzeća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koja zapošljavaju ukupno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312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Broj zaposlenih varira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0 do 45 po firmi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jasno pokazuje da sektor čine uglavnom mala i mikro preduzeća. Najveće preduzeće je iz oblasti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trgovine metalnom robom, bojama i staklom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(45 zaposlenih), dok pojedine firme posluju sa minimalnim brojem zaposlenih ili čak bez njih (formalno registrovana, ali bez prijavljenih radnika).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Ovo ukazuje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visoku fragmentisanost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sektora i oslanjanje na mali broj većih firmi, dok većinu čine mikro i mala preduzeća.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Prihodi i profitabilnost: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Ukupan promet ovih 18 firmi prelazi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60 miliona evra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sa velikim razlikama među preduzećima: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Najveći prihod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beleže firme iz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trgovine motornim gorivima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(najveća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11,9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Trgovina nameštajem i metalnom robom beleži promet od nekoliko miliona evra (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3–5,3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Najmanji prihodi su u mikro firmama iz nespecijalizovane trgovine i apoteka (od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1,6 do 2,1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Neto dobit takođe oscilira: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Najveći profit ostvaruju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benzinske stanice i specijalizovane trgovine metalnom robom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300.000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Dok su pojedine firme zabeležile skromne dobiti (10–20 hiljada EUR), a neke čak 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negativne rezultate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Struktura po delatnostima: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Podaci ukazuju na sledeću raspodelu sektora: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Trgovina motornim gorivima (4730)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94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 pet preduzeća, dominantna po prometu i dobiti.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Trgovina metalnom robom, bojama i staklom (4752)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55 zaposlenih u dve firme, stabilan i profitabilan sektor.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Apoteke (4773)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tri firme sa ukupno 46 zaposlenih, stabilna ali niže profitabilna delatnost.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Trgovina nameštajem i opremom (4759)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jedno preduzeće, 38 zaposlenih, promet preko 3 miliona EUR.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Trgovina polovnom robom (4779)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jedno preduzeće, 34 radnika, stabilan ali specifičan segment.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Nespecijalizovane trgovine (4711 i 4719)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osam firmi, ukupno 45 radnika, visoka fragmentacija i oscilacije u poslovanju.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Bonitet i veličina firmi: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Većina firmi se klasifikuje kao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mala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dok su samo pojedine mikro. Bonitetne ocene se kreću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A1 do E3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ukazuje na različit stepen stabilnosti: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Najbolje ocenjene firme su iz oblasti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goriva i nameštaja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(A1–A3),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Dok su pojedine nespecijalizovane trgovine i apoteke slabije ocenjene (D1, E3).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trgovine na malo u Novom Pazaru pokazuje sledeće ključne karakteristike: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Fragmentisanost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veliki broj malih firmi, mali broj srednjih.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Dominacija goriva i specijalizovane trgovine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 ukupnom prometu i dobiti.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Visoka heterogenost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firme posluju u različitim granama (od apoteka do benzinskih pumpi i nameštaja).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Različiti bonitetni profili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od stabilnih i profitabilnih do preduzeća sa niskim bonitetom i minimalnim zaposlenima.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Ovaj sektor zapošljava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300 ljudi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ostvaruje značajan promet, ali njegov najveći značaj nije u masovnosti, već 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sveprisutnosti i raznovrsnosti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jer obezbeđuje osnovne robe i usluge za lokalno stanovništvo.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807"/>
        <w:suppressLineNumbers w:val="0"/>
      </w:pPr>
      <w:r/>
      <w:bookmarkStart w:id="8" w:name="_Toc8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7. Proizvodnja odeće</w:t>
      </w:r>
      <w:r/>
      <w:bookmarkEnd w:id="8"/>
      <w:r/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Sektor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proizvodnje odeće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 okviru 100 najvećih firmi u Novom Pazaru zapošljava ukupno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163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raspoređenih u četiri preduzeća:</w:t>
      </w:r>
      <w:r/>
    </w:p>
    <w:p>
      <w:pPr>
        <w:pStyle w:val="1987"/>
        <w:numPr>
          <w:ilvl w:val="0"/>
          <w:numId w:val="417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Najveće preduzeće u ovoj delatnosti zapošljava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137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/>
    </w:p>
    <w:p>
      <w:pPr>
        <w:pStyle w:val="1987"/>
        <w:numPr>
          <w:ilvl w:val="0"/>
          <w:numId w:val="417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Ostala tri preduzeća su mala, sa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12, 8 i 6 zaposlenih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contextualSpacing w:val="0"/>
        <w:ind w:left="0" w:firstLine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ind w:left="0" w:firstLine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Ova struktura pokazuje izrazitu koncentraciju zaposlenosti u jednom dominantnom proizvođaču, dok manja preduzeća doprinose uglavnom kroz specijalizovane radionice ili uslužnu proizvodnju (šivenje, dorada, krojenje).</w:t>
      </w:r>
      <w:r/>
    </w:p>
    <w:tbl>
      <w:tblPr>
        <w:tblStyle w:val="1839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2713"/>
        <w:gridCol w:w="850"/>
        <w:gridCol w:w="992"/>
        <w:gridCol w:w="1134"/>
        <w:gridCol w:w="838"/>
        <w:gridCol w:w="114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Šifra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Naziv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Bonitetna ocena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Veličina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Promet (EUR)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Neto dobit (EUR)</w:t>
            </w:r>
            <w:r>
              <w:rPr>
                <w:b/>
                <w:bCs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Broj zaposlenih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2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1413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Proizvodnja ostale odeće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6652768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516959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137</w:t>
            </w:r>
            <w:r/>
          </w:p>
        </w:tc>
      </w:tr>
      <w:tr>
        <w:trPr>
          <w:trHeight w:val="2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1413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Proizvodnja ostale odeće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2506920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18142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12</w:t>
            </w:r>
            <w:r/>
          </w:p>
        </w:tc>
      </w:tr>
      <w:tr>
        <w:trPr>
          <w:trHeight w:val="24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1413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Proizvodnja ostale odeće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1643645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14835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6</w:t>
            </w:r>
            <w:r/>
          </w:p>
        </w:tc>
      </w:tr>
      <w:tr>
        <w:trPr>
          <w:trHeight w:val="26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1392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Proizvodnja gotovih tekstilnih proizvoda, osim odeće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1706714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20450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8</w:t>
            </w:r>
            <w:r/>
          </w:p>
        </w:tc>
      </w:tr>
    </w:tbl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36"/>
          <w:szCs w:val="36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 sektoru proizvodnje odeće u Novom Pazaru aktivne su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 firme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koje zapošljavaju ukupno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163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pStyle w:val="1987"/>
        <w:numPr>
          <w:ilvl w:val="0"/>
          <w:numId w:val="418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Najveće preduzeće u ovom sektoru ima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137 zaposlenih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/>
    </w:p>
    <w:p>
      <w:pPr>
        <w:pStyle w:val="1987"/>
        <w:numPr>
          <w:ilvl w:val="0"/>
          <w:numId w:val="418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Ostale firme su male, sa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 do 12 zaposlenih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dok jedno preduzeće iz segmenta tekstilnih proizvoda zapošljava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8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Ova raspodela pokazuje da je sektor izrazito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koncentrisan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više od 80% zaposlenih radi u jednom preduzeću, dok ostatak sektora čine mikro firme.</w:t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36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Prihodi i profitabilnost: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Ukupan promet sektora iznosi oko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12,5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sa značajnim razlikama po firmama: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Najveća kompanija ostvaruje promet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6,65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1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Ostale firme se kreću između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1,6 i 2,5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Neto dobit sektora ukupno iznosi oko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570.000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pri čemu: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Najveće preduzeće ostvaruje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516.959 EUR dobiti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Ostale firme beleže daleko skromnije rezultate (od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14.835 EUR do 20.450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Ovo jasno pokazuje da sektor zavisi od uspeha jednog velikog aktera, dok manji imaju skromne kapacitete i slabiju profitabilnost.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Bonitetne ocene i stabilnost: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Firme u ovom sektoru imaju različite bonitetne ocene: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Najveće preduzeće ima ocenu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C1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stabilno poslovanje uz umeren rizik,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Dve manje firme ocenjene su kao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ukazuje na solidnu stabilnost,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Jedna firma ima ocenu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D1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označava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visok rizik i finansijsku ranjivost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To ukazuje da je sektor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asimetričan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jedan stabilan lider i nekoliko manjih preduzeća sa ograničenim dometom.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Uloga u lokalnoj privredi: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Proizvodnja odeće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tradicionalnu ulogu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 Novom Pazaru, gradu poznatom po tekstilnoj industriji.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obezbeđuje poslove za srednje kvalifikovanu radnu snagu, posebno žene,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Ima značajan potencijal za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izvoz i regionalnu distribuciju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Važan je i za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brendiranje grada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kao tekstilnog centra.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Međutim, koncentracija zaposlenih i prihoda u jednoj firmi ukazuje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zavisnost sektora od ograničenog broja aktera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povećava rizik.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Izazovi: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Konkurencija jeftinog uvoza iz Azije,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Nedovoljna diversifikacija proizvodnje,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Slaba ulaganja u inovacije i savremene tehnologije,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Ranjivost manjih firmi zbog niskih marži i ograničenog kapitala.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Perspektive: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Jačanje izvoza kroz saradnju sa evropskim distributerima,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Razvoj sopstvenih brendova i e-commerce kanala,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Ulaganje 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modni dizajn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proizvode sa većom dodanom vrednošću,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Povezivanje sa obrazovnim institucijama radi stvaranja novih stručnih kadrova.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proizvodnje odeće u Novom Pazaru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163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ostvaruje promet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12,5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sa dominantnim učešćem jednog velikog preduzeća. Iako ima potencijal za razvoj i izvoz, sektor 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ranjiv zbog visoke koncentracije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oslanjanja na ograničen broj firmi. Budućnost zavisi od modernizacije, diverzifikacije proizvodnje i jačanja malih proizvođača.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shd w:val="nil" w:color="auto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4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48"/>
          <w:highlight w:val="none"/>
        </w:rPr>
      </w:r>
      <w:r/>
    </w:p>
    <w:p>
      <w:pPr>
        <w:pStyle w:val="1807"/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highlight w:val="none"/>
        </w:rPr>
        <w:suppressLineNumbers w:val="0"/>
      </w:pPr>
      <w:r/>
      <w:bookmarkStart w:id="9" w:name="_Toc9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8. Ostalo ustupanje ljudskih resursa</w:t>
      </w:r>
      <w:r/>
      <w:bookmarkEnd w:id="9"/>
      <w:r/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 okviru 100 najvećih firmi u Novom Pazaru, delatnost „Ostalo ustupanje ljudskih resursa“ zapošljava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135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Ovaj broj pokazuje da je sektor značajan poslodavac, iako ne spada u najdominantnije grane poput građevinarstva ili javnih komunalnih preduzeća. Delatnost ustupanja ljudskih resursa podrazumeva agencijsko zapošljavanje i privremeno ustupanje radnika komp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anijama koje imaju sezonske ili projektne potrebe.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tbl>
      <w:tblPr>
        <w:tblStyle w:val="1839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2713"/>
        <w:gridCol w:w="850"/>
        <w:gridCol w:w="992"/>
        <w:gridCol w:w="1134"/>
        <w:gridCol w:w="838"/>
        <w:gridCol w:w="114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Šifra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Naziv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Bonitetna ocena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Veličina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Promet (EUR)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Neto dobit (EUR)</w:t>
            </w:r>
            <w:r>
              <w:rPr>
                <w:b/>
                <w:bCs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Broj zaposlenih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2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7830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Ostalo ustupanje ljudskih resursa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2.450.534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31.260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135</w:t>
            </w:r>
            <w:r/>
          </w:p>
        </w:tc>
      </w:tr>
    </w:tbl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Ovaj sektor ima posebnu ulogu jer omogućava fleksibilnost na tržištu rada. Preduzeća iz drugih grana industrije – posebno građevinarstvo, trgovina i transport – često koriste ovakve agencije da bi odgovorila na nagle potrebe za radnom snagom. Time se smanj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uje rizik za poslodavce, ali se istovremeno otvara pitanje stabilnosti zaposlenja i prava radnika.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Novom Pazaru, gde postoji izražen broj mikro i malih preduzeća, usluge agencijskog zapošljavanja mogu dodatno rasti, naročito u sektorima koji trpe sezonske oscilacije (trgovina tokom prazničnih sezona, građevinarstvo tokom građevinskih sezona). Istovrem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eno, potrebno je obratiti pažnju na regulativu i obezbeđivanje adekvatne zaštite radnika kako bi ovaj sektor doprineo i privredi i zaposlenima.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Delatnost ustupanja ljudskih resursa u Novom Pazaru predstavlja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važan, ali prateći sektor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On ne generiše proizvodnju niti direktno utiče na trgovinski bilans, ali ima ključnu ulogu u održavanju fleksibilnosti i stabilnosti ostalih privrednih grana. Dalji razvoj treba da ide u pravcu profesionalizacije i bolje zaštite prava zaposlenih.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suppressLineNumbers w:val="0"/>
      </w:pPr>
      <w:r>
        <w:br w:type="page" w:clear="all"/>
      </w:r>
      <w:r/>
    </w:p>
    <w:p>
      <w:pPr>
        <w:pStyle w:val="1807"/>
        <w:rPr>
          <w:sz w:val="32"/>
          <w:szCs w:val="32"/>
        </w:rPr>
        <w:suppressLineNumbers w:val="0"/>
      </w:pPr>
      <w:r/>
      <w:bookmarkStart w:id="10" w:name="_Toc10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9. Rezanje i obrada drveta</w:t>
      </w:r>
      <w:r/>
      <w:bookmarkEnd w:id="10"/>
      <w:r/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 okviru 100 najvećih preduzeća u Novom Pazaru, sektor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rezanja i obrade drveta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zapošljava ukupno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84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raspoređenih u dva preduzeća:</w:t>
      </w:r>
      <w:r/>
    </w:p>
    <w:p>
      <w:pPr>
        <w:pStyle w:val="1987"/>
        <w:numPr>
          <w:ilvl w:val="0"/>
          <w:numId w:val="425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Najveće ima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47 zaposlenih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</w:t>
      </w:r>
      <w:r/>
    </w:p>
    <w:p>
      <w:pPr>
        <w:pStyle w:val="1987"/>
        <w:numPr>
          <w:ilvl w:val="0"/>
          <w:numId w:val="425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Drugo preduzeće zapošljava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37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Ova podela pokazuje da sektor nije masovan, ali da se oslanja na nekoliko stabilnih firmi koje imaju specijalizovanu proizvodnju i stalnu potražnju.</w:t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tbl>
      <w:tblPr>
        <w:tblStyle w:val="1839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2713"/>
        <w:gridCol w:w="850"/>
        <w:gridCol w:w="992"/>
        <w:gridCol w:w="1134"/>
        <w:gridCol w:w="838"/>
        <w:gridCol w:w="114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Šifra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Naziv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Bonitetna ocena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Veličina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Promet (EUR)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Neto dobit (EUR)</w:t>
            </w:r>
            <w:r>
              <w:rPr>
                <w:b/>
                <w:bCs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Broj zaposlenih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2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1610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Rezanje i obrada drveta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5.608.131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81.357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47</w:t>
            </w:r>
            <w:r/>
          </w:p>
        </w:tc>
      </w:tr>
      <w:tr>
        <w:trPr>
          <w:trHeight w:val="2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1610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Rezanje i obrada drveta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1.878.470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107.635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37</w:t>
            </w:r>
            <w:r/>
          </w:p>
        </w:tc>
      </w:tr>
    </w:tbl>
    <w:p>
      <w:pPr>
        <w:contextualSpacing w:val="0"/>
        <w:jc w:val="left"/>
        <w:spacing w:before="0" w:after="0"/>
        <w:suppressLineNumbers w:val="0"/>
      </w:pPr>
      <w:r/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ovom sektoru registrovane su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 firme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ukupno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84 zaposlena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Veća firma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47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Druga, manja firma,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37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 relativno uravnotežena podela pokazuje da u Novom Pazaru sektor obrade drveta nema dominantnog lidera, već dva aktera slične snage, koji zajedno čine jezgro ove industrije.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Prihodi i profitabilnost: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Ukupan promet sektora iznosi oko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7,5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od čega: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Veća firma ostvaruje prihod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5,6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Manja firma ostvaruje prihod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1,87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Zanimljivo je da manja firma, iako ima manji promet, beleži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veću neto dobit (107.635 EUR)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 poređenju sa većom firmom (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81.357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). To ukazuje na bolju efikasnost i profitabilnost u odnosu na veličinu.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Bonitet i stabilnost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Firma sa 47 zaposlenih ima bonitetnu ocenu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C3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označava umeren rizik i potencijalnu ranjivost.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Firma sa 37 zaposlenih ima ocenu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ukazuje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stabilnije poslovanje i solidan rejting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Ovo potvrđuje da veći obim poslovanja ne znači nužno i veću stabilnost – manja firma ima bolji bonitet i ostvaruje veću relativnu dobit.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Uloga u lokalnoj privredi: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Rezanje i obrada drveta je sektor sa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značajem za građevinsku i nameštajsku industriju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jer obezbeđuje poluproizvode i materijale. Novi Pazar, kao grad sa razvijenom proizvodnjom nameštaja i trgovinom, ima koristi od lokalnih firmi koje se bave obradom drveta, jer smanjuju zavisnost od uvoza i omogućavaju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lokalne lance snabdevanja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Ovaj sektor je posebno važan za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manja i srednja preduzeća u proizvodnji nameštaja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koja zavise od stabilne i kvalitetne isporuke sirovina.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Izazovi: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Ograničen broj preduzeća i koncentracija u malom broju aktera,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Zavisnost od kretanja cena sirovina na tržištu,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Potreba za modernizacijom tehnologije obrade,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2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Ekološki pritisci i regulative u vezi sa sečom i obradom drveta.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Perspektive: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Mogućnost integracije sa sektorom proizvodnje nameštaja i izvoza finalnih proizvoda,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Unapređenje tehnologije radi većeg iskorišćenja sirovina i smanjenja otpada,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Razvoj „zelene proizvodnje“ i sertifikovanih proizvoda koji imaju dodatnu vrednost na evropskom tržištu,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Povezivanje sa inostranim partnerima kroz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klastere drvne industrije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rezanja i obrade drveta u Novom Pazaru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84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ostvaruje promet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7,5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Iako relativno mali po obimu, sektor ima važnu ulogu u lancu vrednosti lokalne privrede, posebno u povezivanju sa industrijom nameštaja. Ključni izazovi su modernizacija i diverzifikacija, dok su najveće šanse u jačanju saradnje sa proizvođačima nameštaj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a i izvozu poluproizvoda i gotovih proizvoda.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807"/>
        <w:rPr>
          <w:sz w:val="32"/>
          <w:szCs w:val="32"/>
        </w:rPr>
        <w:suppressLineNumbers w:val="0"/>
      </w:pPr>
      <w:r/>
      <w:bookmarkStart w:id="11" w:name="_Toc11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10. Proizvodnja hrane</w:t>
      </w:r>
      <w:r/>
      <w:bookmarkEnd w:id="11"/>
      <w:r/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okviru 100 najvećih firmi u Novom Pazaru, sektor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proizvodnje hrane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zapošljava ukupno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64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raspoređenih u dva preduzeća: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Najveće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49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Drugo, manje preduzeće,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15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 struktura jasno pokazuje dominaciju jednog proizvođača, dok manji doprinosi diversifikaciji i fleksibilnosti u ponudi. Ukupan broj zaposlenih je relativno skroman, ali je značaj ovog sektora veći od same brojke.</w:t>
      </w:r>
      <w:r>
        <w:rPr>
          <w:sz w:val="24"/>
          <w:szCs w:val="24"/>
        </w:rPr>
      </w:r>
      <w:r/>
    </w:p>
    <w:tbl>
      <w:tblPr>
        <w:tblStyle w:val="1839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2713"/>
        <w:gridCol w:w="850"/>
        <w:gridCol w:w="992"/>
        <w:gridCol w:w="1134"/>
        <w:gridCol w:w="838"/>
        <w:gridCol w:w="114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Šifra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Naziv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Bonitetna ocena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Veličina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Promet (EUR)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Neto dobit (EUR)</w:t>
            </w:r>
            <w:r>
              <w:rPr>
                <w:b/>
                <w:bCs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Broj zaposlenih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2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1071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Proizvodnja hleba, svežeg peciva i kolača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1.658.293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166.465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15</w:t>
            </w:r>
            <w:r/>
          </w:p>
        </w:tc>
      </w:tr>
      <w:tr>
        <w:trPr>
          <w:trHeight w:val="2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1061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Proizvodnja mlinskih proizvoda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2.563.646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12.348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49</w:t>
            </w:r>
            <w:r/>
          </w:p>
        </w:tc>
      </w:tr>
    </w:tbl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ovom sektoru posluju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 firme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ukupno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64 zaposlena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Veća firma, iz oblasti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mlinske industrije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49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Manja firma, koja se bavi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proizvodnjom hleba, peciva i kolača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15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je mali u odnosu na druge grane industrije u Novom Pazaru, ali njegova uloga 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strateška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jer se odnosi na osnovne prehrambene proizvode, od brašna do gotovih pekarskih artikala.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Prihodi i profitabilnost: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Ukupan promet sektora iznosi oko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4,22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Firma u mlinskoj industriji ostvaruje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2,56 miliona EUR prometa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Pekarska firma ostvaruje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1,65 miliona EUR prometa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Kada je reč o neto dobiti, ukupno beleži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178.813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pri čemu: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Firma iz pekarskog sektora ostvaruje značajnu dobit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166.465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Mlinska firma beleži tek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12.348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ukazuje na nižu profitabilnost uprkos većem prometu.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Ovo sugeriše da 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pekarska proizvodnja znatno efikasnija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po zaposlenom i po jedinici prometa, dok mlinska industrija posluje sa malim maržama.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Bonitet i stabilnost: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Proizvodnja hleba i peciva ima bonitetnu ocenu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B2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ukazuje na solidnu stabilnost i umereno nizak rizik.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Proizvodnja mlinskih proizvoda ima ocenu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je nešto slabija ocena, ali i dalje u rangu relativno stabilnog poslovanja.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Ove ocene potvrđuju da sektor, iako mali, ima firmu koja pokazuje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zdravu finansijsku osnovu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firmu koja je stabilna, ali manje profitabilna.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Uloga u lokalnoj privredi: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 obzirom da se radi o osnovnim prehrambenim proizvodima, sektor ima značajnu ulogu za lokalnu zajednicu: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Mlinska industrija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obezbeđuje brašno i poluproizvode za pekare i trgovinu,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Pekarska industrija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snabdeva tržište svakodnevnim proizvodima široke potrošnje,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Obe firme zajedno čine osnovu za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prehrambenu sigurnost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stabilno snabdevanje stanovništva.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Ovo je sektor koji nije samo ekonomski, već 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socijalno važan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Izazovi: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Pritisak na cene i niske marže, posebno u mlinskoj industriji,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Zavisnost od cena žitarica i sirovina na globalnom tržištu,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Potreba za modernizacijom tehnologije i energetske efikasnosti.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Perspektive: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Jačanje pekarskog sektora kroz razvoj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novih proizvoda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(integralni, bezglutenski, funkcionalni proizvodi),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Mogućnost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udruživanja i vertikalne integracije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poljoprivrednim proizvođačima,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Potencijal za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regionalno širenje i izvoz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specijalizovanih proizvoda.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proizvodnje hrane u Novom Pazaru 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relativno mali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(64 zaposlena i 4,2 miliona EUR prometa), ali njegova važnost 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strateška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zbog uloge u osnovnom snabdevanju stanovništva. Pekarska firma pokazuje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visoku profitabilnost i stabilnost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dok mlinska industrija radi sa malim maržama i izazovima u pogledu konkurentnosti. Budućnost sektora zavisi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modernizacije i diversifikacije ponude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kao i povezivanja sa lokalnim poljoprivrednim resursima.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807"/>
        <w:suppressLineNumbers w:val="0"/>
      </w:pPr>
      <w:r/>
      <w:bookmarkStart w:id="12" w:name="_Toc12"/>
      <w:r>
        <w:rPr>
          <w:rFonts w:ascii="Times New Roman" w:hAnsi="Times New Roman" w:eastAsia="Times New Roman" w:cs="Times New Roman"/>
          <w:b/>
          <w:color w:val="000000"/>
          <w:sz w:val="36"/>
        </w:rPr>
        <w:t xml:space="preserve">11. Prevoz putnika u drumskom saobraćaju</w:t>
      </w:r>
      <w:r/>
      <w:bookmarkEnd w:id="12"/>
      <w:r/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 okviru 100 najvećih preduzeća u Novom Pazaru, u sektoru gradskog i prigradskog putničkog prevoza evidentirano je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53 zaposlena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Iako ovaj broj deluje relativno mali u odnosu na građevinarstvo, trgovinu ili komunalna preduzeća, njegova važnost prevazilazi broj zaposlenih, jer je u pitanju delatnost od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visokog društvenog značaja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tbl>
      <w:tblPr>
        <w:tblStyle w:val="1839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2713"/>
        <w:gridCol w:w="850"/>
        <w:gridCol w:w="992"/>
        <w:gridCol w:w="1134"/>
        <w:gridCol w:w="838"/>
        <w:gridCol w:w="114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Šifra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Naziv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Bonitetna ocena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Veličina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Promet (EUR)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Neto dobit (EUR)</w:t>
            </w:r>
            <w:r>
              <w:rPr>
                <w:b/>
                <w:bCs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center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Broj zaposlenih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2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4931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Gradski i prigradski kopneni prevoz putnika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5.286.258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304.149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53</w:t>
            </w:r>
            <w:r/>
          </w:p>
        </w:tc>
      </w:tr>
    </w:tbl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 ovom sektoru posluje jedno preduzeće koje spada među 100 najvećih firmi u Novom Pazaru.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Firma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53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je tipičan broj za srednje preduzeće u oblasti javnog i komercijalnog prevoza.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Broj zaposlenih je dovoljan za održavanje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voznog parka autobusa i minibuseva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kao i pratećih administrativnih i tehničkih službi.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Prihodi i profitabilnost: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Ukupan promet firme iznosi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5,28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pokazuje da sektor ima značajnu ekonomsku ulogu i da predstavlja stabilan izvor prihoda u lokalnoj zajednici.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Neto dobit iznosi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304.149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predstavlja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solidnu profitabilnost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 odnosu na broj zaposlenih i specifičnosti sektora (visoki troškovi goriva, održavanja i amortizacije vozila).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Ovo ukazuje da preduzeće posluje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održivo i stabilno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i da uspeva da kontroliše rashode u zahtevnom okruženju.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Bonitet i stabilnost: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Preduzeće ima bonitetnu ocenu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B1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znači da se radi 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stabilnom poslovnom subjektu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niskim rizikom i solidnim izgledima za buduće poslovanje.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 ocena dodatno potvrđuje da sektor, iako zavisan od javnih politika i tržišnih uslova, funkcioniše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pouzdano i predvidivo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Uloga u lokalnoj privredi i zajednici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Gradski i prigradski prevoz putnika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širi socio-ekonomski značaj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Omogućava mobilnost stanovništva, posebno onih koji nemaju pristup privatnom prevozu.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Podržava druge sektore lokalne privrede (trgovinu, ugostiteljstvo, uslužne delatnosti) jer omogućava protok radne snage i potrošača.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Ima ulogu 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smanjenju saobraćajnog zagušenja i ekoloških opterećenja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jer organizovan javni prevoz smanjuje broj privatnih vozila na ulicama.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Izazovi: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Fluktuacije cena goriva i energenata koje direktno utiču na rashode.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Potreba za modernizacijom voznog parka i prelaskom na ekološki prihvatljivija vozila.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3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Održavanje kvaliteta usluge uz konkurenciju privatnih prevoznika.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Perspektive: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Uvođenje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digitalnih sistema naplate karata i praćenja vozila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radi veće efikasnosti.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Potencijalno širenje na regionalne linije i saradnja sa opštinama u okruženju.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Integracija sa politikama održive urbane mobilnosti i korišćenje fondova za „zelena“ ulaganja.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gradskog i prigradskog prevoza putnika u Novom Pazaru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53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ostvaruje promet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5,28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dobit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304.149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Njegova uloga je pre svega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socijalna i infrastrukturna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jer obezbeđuje osnovnu mobilnost građana, ali istovremeno pokazuje i solidnu profitabilnost i stabilnost poslovanja. Dalji razvoj zavisi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modernizacije i ekoloških inovacija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koje će obezbediti dugoročnu održivost ovog sektora.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807"/>
        <w:rPr>
          <w:sz w:val="32"/>
          <w:szCs w:val="32"/>
        </w:rPr>
        <w:suppressLineNumbers w:val="0"/>
      </w:pPr>
      <w:r/>
      <w:bookmarkStart w:id="13" w:name="_Toc13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12. Održavanje i trgovina automobilima</w:t>
      </w:r>
      <w:r/>
      <w:bookmarkEnd w:id="13"/>
      <w:r/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 okviru 100 najvećih preduzeća u Novom Pazaru, sektor održavanja i trgovine automobilima zapošljava ukupno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50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raspoređenih u četiri preduzeća različite veličine:</w:t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pStyle w:val="1987"/>
        <w:numPr>
          <w:ilvl w:val="0"/>
          <w:numId w:val="441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Najveća firma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zapošljava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21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 bavi se trgovinom automobilima i lakim motornim vozilima,</w:t>
      </w:r>
      <w:r/>
    </w:p>
    <w:p>
      <w:pPr>
        <w:pStyle w:val="1987"/>
        <w:numPr>
          <w:ilvl w:val="0"/>
          <w:numId w:val="441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Dve manje firme zapošljavaju po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14 i 11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pri čemu jedna pokriva trgovinu vozilima, a druga održavanje i popravke,</w:t>
      </w:r>
      <w:r/>
    </w:p>
    <w:p>
      <w:pPr>
        <w:pStyle w:val="1987"/>
        <w:numPr>
          <w:ilvl w:val="0"/>
          <w:numId w:val="441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Najmanja firma zapošljava svega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ali takođe posluje u oblasti prodaje automobila.</w:t>
      </w:r>
      <w:r/>
    </w:p>
    <w:tbl>
      <w:tblPr>
        <w:tblStyle w:val="1839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2713"/>
        <w:gridCol w:w="850"/>
        <w:gridCol w:w="992"/>
        <w:gridCol w:w="1134"/>
        <w:gridCol w:w="838"/>
        <w:gridCol w:w="114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Šifra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Naziv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Bonitetna ocena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Veličina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Promet (EUR)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Neto dobit (EUR)</w:t>
            </w:r>
            <w:r>
              <w:rPr>
                <w:b/>
                <w:bCs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Broj zaposlenih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2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4520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Održavanje i popravka motornih vozila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3.564.187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48.113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11</w:t>
            </w:r>
            <w:r/>
          </w:p>
        </w:tc>
      </w:tr>
      <w:tr>
        <w:trPr>
          <w:trHeight w:val="2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automobilima i lakim motornim vozilima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15.201.602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346.878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21</w:t>
            </w:r>
            <w:r/>
          </w:p>
        </w:tc>
      </w:tr>
      <w:tr>
        <w:trPr>
          <w:trHeight w:val="2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automobilima i lakim motornim vozilima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3.156.820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88.364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14</w:t>
            </w:r>
            <w:r/>
          </w:p>
        </w:tc>
      </w:tr>
      <w:tr>
        <w:trPr>
          <w:trHeight w:val="2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Trgovina automobilima i lakim motornim vozilima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2.893.110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16.134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</w:t>
            </w:r>
            <w:r/>
          </w:p>
        </w:tc>
      </w:tr>
    </w:tbl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Ova raspodela pokazuje da je sektor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fragmentisan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bez izrazito dominantnog aktera, ali sa jasnom podelom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prodaju vozila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postprodajne usluge (servis i održavanje)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Prihodi i profitabilnost: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Ukupan promet sektora iznosi oko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24,9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dok je ukupna neto dobit približno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499.489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Najveća firma ostvaruje promet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15,2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neto dobit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346.878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je skoro 70% ukupne dobiti sektora.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Manja firma sa 14 zaposlenih beleži promet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3,16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neto dobit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88.364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je odličan rezultat u odnosu na veličinu.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2"/>
        </w:num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Servisna firma sa 11 zaposlenih ostvaruje promet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3,56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ali skromnu dobit od svega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48.113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ukazuje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niže marže u uslužnim delatnostima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Najmanja firma ima promet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2,89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neto dobit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16.134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ukazuje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ograničenu efikasnost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borbu za tržišni prostor.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Bonitet i stabilnost: 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Većina firmi ima bonitetnu ocenu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B1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znači da se radi o stabilnim poslovnim subjektima sa relativno niskim rizikom.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Jedina firma sa nižom ocenom (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C2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je mikro preduzeće, koje posluje na ivici rentabilnosti.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Ovo potvrđuje da sektor kao celina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umerenu stabilnost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ali da su veća i srednja preduzeća sigurnija i profitabilnija od manjih.</w:t>
      </w:r>
      <w:r>
        <w:rPr>
          <w:sz w:val="24"/>
          <w:szCs w:val="24"/>
        </w:rPr>
      </w:r>
      <w:r/>
    </w:p>
    <w:p>
      <w:pPr>
        <w:contextualSpacing w:val="0"/>
        <w:ind w:left="0" w:firstLine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ind w:left="0" w:firstLine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Uloga u lokalnoj privredi: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 obzirom da Novi Pazar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mlado i dinamično stanovništvo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sa rastućom potražnjom za automobilima i servisnim uslugama, ovaj sektor ima važnu ulogu u: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Zadovoljenju potrebe za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ličnim i poslovnim transportom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Obezbeđivanju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radnih mesta za tehnički kadar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Kreiranju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prateće potražnje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(rezervni delovi, gorivo, osiguranje).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Pored toga, prisustvo nekoliko manjih i srednjih firmi omogućava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konkurenciju i izbor potrošačima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može doprineti kvalitetu usluga i povoljnijim cenama.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Izazovi: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Konkurencija među lokalnim i regionalnim distributerima,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Zavisnost od kupovne moći stanovništva i dostupnosti finansiranja,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Rastući troškovi rezervnih delova i održavanja,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Potreba za prilagođavanjem tržištu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električnih i hibridnih vozila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Perspektive: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Razvoj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integrisanih servisa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(prodaja + održavanje + leasing),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Širenje ponude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polovna i ekološka vozila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Uvođenje digitalnih servisa (online prodaja, zakazivanje servisa),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Saradnja sa međunarodnim distributerima i proizvođačima.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održavanja i prodaje automobila u Novom Pazaru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50 ljudi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ostvaruje promet od skoro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25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neto dobit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0,5 miliona EUR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Njegova važnost je u podršci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mobilnosti i lokalnoj privredi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ali i u stvaranju dodatne vrednosti kroz prateće usluge. Najveće firme beleže stabilno poslovanje, dok manja preduzeća funkcionišu u zahtevnim uslovima, što naglašava potrebu za konsolidacijom i inovacijama.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shd w:val="nil" w:color="auto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4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/>
          <w:color w:val="000000"/>
          <w:sz w:val="48"/>
          <w:highlight w:val="none"/>
        </w:rPr>
      </w:r>
      <w:r/>
    </w:p>
    <w:p>
      <w:pPr>
        <w:pStyle w:val="1807"/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highlight w:val="none"/>
        </w:rPr>
        <w:suppressLineNumbers w:val="0"/>
      </w:pPr>
      <w:r/>
      <w:bookmarkStart w:id="14" w:name="_Toc14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13. Tehničko ispitivanje i analize</w:t>
      </w:r>
      <w:r/>
      <w:bookmarkEnd w:id="14"/>
      <w:r/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 okviru 100 najvećih preduzeća u Novom Pazaru, delatnost „Tehničko ispitivanje i analize“ zapošljava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35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Iako broj zaposlenih nije velik u poređenju sa dominantnim granama poput građevinarstva ili trgovine, ovaj sektor ima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specifičan značaj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jer obezbeđuje stručnu podršku i standarde bez kojih savremena privreda ne može da funkcioniše.</w:t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tbl>
      <w:tblPr>
        <w:tblStyle w:val="1839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2713"/>
        <w:gridCol w:w="850"/>
        <w:gridCol w:w="992"/>
        <w:gridCol w:w="1134"/>
        <w:gridCol w:w="838"/>
        <w:gridCol w:w="114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Šifra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Naziv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Bonitetna ocena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Veličina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Promet (EUR)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Neto dobit (EUR)</w:t>
            </w:r>
            <w:r>
              <w:rPr>
                <w:b/>
                <w:bCs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Broj zaposlenih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2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7120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Tehničko ispitivanje i analize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4.033.836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334.829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35</w:t>
            </w:r>
            <w:r/>
          </w:p>
        </w:tc>
      </w:tr>
    </w:tbl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Tehničko ispitivanje i analize obuhvataju širok spektar aktivnosti – od kontrole kvaliteta materijala i proizvoda, preko ispitivanja bezbednosti u građevini i saobraćaju, pa do laboratorijskih analiza u prehrambenoj i tekstilnoj industriji. Upravo zbog tog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a, iako relativno mali po broju zaposlenih, sektor ima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multiplikativni efekat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na sve druge grane privrede.</w:t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Novopazarska privreda oslonjena je na građevinsku industriju, drvoprerađivački i nameštajski sektor, trgovinu i transport. Sve ove delatnosti zahtevaju određene standarde kvaliteta i tehničke provere. Na primer:</w:t>
      </w:r>
      <w:r/>
    </w:p>
    <w:p>
      <w:pPr>
        <w:pStyle w:val="1987"/>
        <w:numPr>
          <w:ilvl w:val="0"/>
          <w:numId w:val="447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Građevinarstvo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ne može napredovati bez redovne kontrole materijala i konstrukcija.</w:t>
      </w:r>
      <w:r/>
    </w:p>
    <w:p>
      <w:pPr>
        <w:pStyle w:val="1987"/>
        <w:numPr>
          <w:ilvl w:val="0"/>
          <w:numId w:val="447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Proizvodnja nameštaja i obrade drveta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zahteva testiranja kvaliteta finalnih proizvoda, otpornosti i bezbednosti.</w:t>
      </w:r>
      <w:r/>
    </w:p>
    <w:p>
      <w:pPr>
        <w:pStyle w:val="1987"/>
        <w:numPr>
          <w:ilvl w:val="0"/>
          <w:numId w:val="447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Prehrambena industrija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se oslanja na laboratorijske analize kako bi obezbedila zdravstvenu ispravnost proizvoda.</w:t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Zbog toga ovaj sektor, iako mali, pruža uslugu od strateškog značaja. On omogućava da lokalna privreda bude konkurentna na širem tržištu, jer samo proizvodi i usluge koji zadovoljavaju standarde mogu naći put ka zahtevnim kupcima u EU ili drugim izvoznim t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ržištima.</w:t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</w:rPr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Postoji nekoliko pravaca u kojima se ovaj sektor može razvijati u Novom Pazaru:</w:t>
      </w:r>
      <w:r/>
    </w:p>
    <w:p>
      <w:pPr>
        <w:pStyle w:val="1987"/>
        <w:numPr>
          <w:ilvl w:val="0"/>
          <w:numId w:val="448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Digitalizacija i automatizacija procesa ispitivanja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primena savremenih softverskih i tehničkih rešenja može povećati efikasnost i pouzdanost analiza.</w:t>
      </w:r>
      <w:r/>
    </w:p>
    <w:p>
      <w:pPr>
        <w:pStyle w:val="1987"/>
        <w:numPr>
          <w:ilvl w:val="0"/>
          <w:numId w:val="448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Usklađivanje sa EU standardima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kako bi lokalne firme lakše izvozile proizvode, neophodno je da tehničke provere budu usklađene sa evropskim i međunarodnim standardima.</w:t>
      </w:r>
      <w:r/>
    </w:p>
    <w:p>
      <w:pPr>
        <w:pStyle w:val="1987"/>
        <w:numPr>
          <w:ilvl w:val="0"/>
          <w:numId w:val="448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Specijalizacija po industrijama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sektor bi mogao da razvije specijalizovane laboratorije za drvnu industriju, nameštaj ili tekstil, što su dominantne oblasti u Novom Pazaru.</w:t>
      </w:r>
      <w:r/>
    </w:p>
    <w:p>
      <w:pPr>
        <w:pStyle w:val="1987"/>
        <w:numPr>
          <w:ilvl w:val="0"/>
          <w:numId w:val="448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Edukacija i sertifikacija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kroz saradnju sa obrazovnim institucijama, moguće je razvijati nove stručnjake i širiti svest o značaju tehničkog ispitivanja.</w:t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Izazovi: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Glavni izazovi za ovu delatnost su: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Ograničen broj zaposlenih i stručnjaka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može da uspori rast sektora.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Visoki troškovi opreme i laboratorija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zbog kojih manja preduzeća često ne mogu samostalno da razviju svoje kapacitete.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4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Nedovoljna svest kod lokalnih proizvođača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o značaju sertifikacije i testiranja, što ograničava potražnju za ovim uslugama.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„Tehničko ispitivanje i analize“ u Novom Pazaru zapošljava relativno mali broj ljudi, ali njegov značaj je nesrazmerno veliki u odnosu na veličinu. To je sektor koji obezbeđuje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kvalitet, bezbednost i konkurentnost proizvoda i usluga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i samim tim predstavlja „nevidljivi stub“ lokalne privrede. Njegov dalji razvoj mogao bi da ima ključnu ulogu u modernizaciji i internacionalizaciji novopazarskih firmi.</w:t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807"/>
        <w:rPr>
          <w:sz w:val="32"/>
          <w:szCs w:val="32"/>
        </w:rPr>
        <w:suppressLineNumbers w:val="0"/>
      </w:pPr>
      <w:r/>
      <w:bookmarkStart w:id="15" w:name="_Toc15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14. Proizvodnja opreme za osvetljenje</w:t>
      </w:r>
      <w:r/>
      <w:bookmarkEnd w:id="15"/>
      <w:r/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 okviru 100 najvećih preduzeća u Novom Pazaru, sektor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proizvodnje opreme za osvetljenje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zapošljava ukupno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29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To ga čini manjim sektorom u poređenju sa građevinarstvom, komunalnim uslugama ili nameštajem, ali ipak važnim u smislu specijalizacije i potencijala za dalji rast. Sama struktura pokazuje da je ovaj sektor koncentirsan u jednom preduzeću, što znači da j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e tržišna pozicija relativno centralizovana i zavisi od uspeha tog pojedinačnog proizvođača.</w:t>
      </w:r>
      <w:r/>
    </w:p>
    <w:tbl>
      <w:tblPr>
        <w:tblStyle w:val="1839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2713"/>
        <w:gridCol w:w="850"/>
        <w:gridCol w:w="992"/>
        <w:gridCol w:w="1134"/>
        <w:gridCol w:w="838"/>
        <w:gridCol w:w="114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Šifra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Naziv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Bonitetna ocena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Veličina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Promet (EUR)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Neto dobit (EUR)</w:t>
            </w:r>
            <w:r>
              <w:rPr>
                <w:b/>
                <w:bCs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Broj zaposlenih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2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2740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Proizvodnja opreme za osvetljenje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7.107.795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904.534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suppressLineNumbers w:val="0"/>
            </w:pPr>
            <w:r>
              <w:t xml:space="preserve">29</w:t>
            </w:r>
            <w:r/>
          </w:p>
        </w:tc>
      </w:tr>
    </w:tbl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Iako mali po obimu zaposlenosti, ovaj sektor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strateški značaj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jer proizvodi delove i opremu koja se koristi u: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Građevinskoj industriji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posebno kod stambenih i poslovnih objekata,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Komunalnim uslugama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javna rasveta i održavanje infrastrukture,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Trgovini i distribuciji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deo proizvoda završava u maloprodaji i veleprodaji.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Posebno je važno istaći da ovakav tip industrije donosi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tehnološku dimenziju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lokalnoj privredi, jer se radi o proizvodima koji zahtevaju tehničko znanje, inovacije i kvalitetnu obradu materijala.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Proizvodnja opreme za osvetljenje ima potencijal za širenje u nekoliko pravaca: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LED tehnologija i energetska efikasnost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prelazak na modernije i ekološki prihvatljivije izvore svetlosti, što otvara nova tržišta.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Integracija sa pametnim rešenjima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uključivanje u koncept „smart city“, posebno kroz pametne sisteme javne rasvete.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Izvozna orijentacija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proizvodi za osvetljenje imaju tržište i van lokalne sredine, pa postoji šansa za plasman u regionu i inostranstvu.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Saradnja sa građevinarstvom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jačanje pozicije kroz partnerstva sa firmama koje grade i opremaju objekte.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Izazovi: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Glavni izazovi za sektor su: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Mala veličina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zavisnost od jednog ili vrlo malog broja proizvođača,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Visoki troškovi proizvodnje i nabavke sirovina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Tehnološka konkurencija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strani proizvođači često nude jeftinija rešenja,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Ograničena radna snaga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mali broj zaposlenih može otežati širenje kapaciteta i inovacije.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Zaključak: 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Sektor proizvodnje opreme za osvetljenje u Novom Pazaru trenutno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29 ljudi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ali poseduje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značajan razvojni potencijal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Njegova vrednost nije u masovnoj zaposlenosti, već 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specijalizovanom znanju i proizvodima koji mogu da postanu deo šire industrijske i ekološke transformacije grada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 Ako se poveže sa trendovima pametnih tehnologija i energetske efikasnosti, ovaj sektor može postati važan faktor modernizacije privrede Novog Pazara.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807"/>
        <w:rPr>
          <w:sz w:val="32"/>
          <w:szCs w:val="32"/>
        </w:rPr>
        <w:suppressLineNumbers w:val="0"/>
      </w:pPr>
      <w:r/>
      <w:bookmarkStart w:id="16" w:name="_Toc16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15. Poštanske aktivnosti komercijalnog servisa</w:t>
      </w:r>
      <w:r/>
      <w:bookmarkEnd w:id="16"/>
      <w:r/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 okviru 100 najvećih firmi u Novom Pazaru, sektor „Poštanske aktivnosti komercijalnog servisa“ zapošljava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samo 4 radnika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Iako se radi o veoma malom broju u poređenju sa drugim delatnostima, ova grana je značajna jer predstavlja deo osnovne infrastrukture poslovanja i komunikacija. Poštanske usluge, iako tradicionalno prisutne, danas su podložne transformaciji usled digital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izacije i razvoja kurirskih i logističkih servisa.</w:t>
      </w:r>
      <w:r/>
    </w:p>
    <w:tbl>
      <w:tblPr>
        <w:tblStyle w:val="1839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2713"/>
        <w:gridCol w:w="850"/>
        <w:gridCol w:w="992"/>
        <w:gridCol w:w="1134"/>
        <w:gridCol w:w="838"/>
        <w:gridCol w:w="1147"/>
      </w:tblGrid>
      <w:tr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Šifra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Naziv delatnosti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Bonitetna ocena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Veličina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Promet (EUR)</w:t>
            </w:r>
            <w:r>
              <w:rPr>
                <w:b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Neto dobit (EUR)</w:t>
            </w:r>
            <w:r>
              <w:rPr>
                <w:b/>
                <w:bCs/>
              </w:rPr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rPr>
                <w:rFonts w:ascii="Arial" w:hAnsi="Arial" w:eastAsia="Arial" w:cs="Arial"/>
                <w:b/>
                <w:bCs/>
                <w:i w:val="0"/>
                <w:strike w:val="0"/>
                <w:color w:val="000000"/>
                <w:sz w:val="22"/>
                <w:u w:val="none"/>
              </w:rPr>
              <w:t xml:space="preserve">Broj zaposlenih</w:t>
            </w:r>
            <w:r>
              <w:rPr>
                <w:b/>
                <w:bCs/>
              </w:rPr>
            </w:r>
            <w:r/>
          </w:p>
        </w:tc>
      </w:tr>
      <w:tr>
        <w:trPr>
          <w:trHeight w:val="2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255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5320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2713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Poštanske aktivnosti komercijalnog servisa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2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34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4.279.660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8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48.062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47" w:type="dxa"/>
            <w:vAlign w:val="top"/>
            <w:vMerge w:val="restart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suppressLineNumbers w:val="0"/>
            </w:pPr>
            <w:r>
              <w:t xml:space="preserve">4</w:t>
            </w:r>
            <w:r/>
          </w:p>
        </w:tc>
      </w:tr>
    </w:tbl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Uloga u lokalnoj privredi: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Uloga poštanskih i kurirskih aktivnosti u Novom Pazaru ogleda se u: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Podršci trgovini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naročito maloprodaji i veleprodaji, koje zahtevaju redovan prenos dokumenata, ugovora i robe.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E-trgovini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iako broj zaposlenih u ovom sektoru nije veliki, on podržava lokalne trgovce i proizvođače koji sve više posluju onlajn.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Povezivanju lokalne i regionalne privrede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poštanske aktivnosti omogućavaju da manja i srednja preduzeća brže uključe svoje proizvode u šire tokove.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 obzirom na geografski položaj Novog Pazara, ovaj sektor ima potencijal da postane važan deo logističke mreže koja povezuje Sandžak sa centralnom Srbijom i regionom.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Perspektive razvoja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Iako trenutno mali po obimu zaposlenih, sektor ima nekoliko mogućnosti za razvoj: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E-trgovina i kurirske usluge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rast onlajn prodaje stvara potrebu za modernim, brzim i pouzdanim kurirskim servisima.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Digitalizacija poštanskih usluga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uvođenje elektronskih servisa i automatizovanih poštanskih kutija može povećati efikasnost i privući nove korisnike.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Integracija sa logističkim i transportnim sektorom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poštanske aktivnosti mogu postati deo šireg lanca distribucije robe, u saradnji sa transportnim i veleprodajnim firmama.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Glavni izazovi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za ovaj sektor u Novom Pazaru su: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Konkurencija privatnih kurirskih servisa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koji nude brže i fleksibilnije usluge.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Ograničen broj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smanjuje kapacitete za širenje i unapređenje usluga.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5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Nedovoljna povezanost sa digitalnom ekonomijom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koja postaje dominantna u savremenom poslovanju.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Zaključak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Iako je sektor poštanskih aktivnosti u Novom Pazaru veoma mali po broju zaposlenih, njegova uloga je infrastrukturna i suštinski povezana sa funkcionisanjem lokalne privrede. On može postati značajniji ukoliko se poveže sa rastućim trendom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e-trgovine i digitalne logistike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jer upravo ti pravci nude potencijal za nova zapošljavanja i modernizaciju usluga.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807"/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</w:rPr>
        <w:suppressLineNumbers w:val="0"/>
      </w:pPr>
      <w:r/>
      <w:bookmarkStart w:id="17" w:name="_Toc17"/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Zaključno razmatranje: </w:t>
      </w:r>
      <w:r>
        <w:rPr>
          <w:rFonts w:ascii="Times New Roman" w:hAnsi="Times New Roman" w:eastAsia="Times New Roman" w:cs="Times New Roman"/>
          <w:b/>
          <w:color w:val="000000"/>
          <w:sz w:val="32"/>
          <w:szCs w:val="32"/>
        </w:rPr>
        <w:t xml:space="preserve">Struktura zaposlenosti po granama privrede u Novom Pazaru </w:t>
      </w:r>
      <w:r/>
      <w:bookmarkEnd w:id="17"/>
      <w:r/>
      <w:r/>
    </w:p>
    <w:p>
      <w:p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Analiza 100 najvećih preduzeća u Novom Pazaru pokazuje da je zaposlenost u gradu raspoređena kroz više različitih sektora, pri čemu se jasno izdvajaju nekoliko ključnih oblasti: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57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Građevinska industrija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najveći poslodavac sa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650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posebno u kompanijama koje se bave izgradnjom puteva i stambenih objekata.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57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Proizvodnja nameštaja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sa oko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450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ovaj sektor se pokazuje kao značajan oslonac lokalne privrede, oslanjajući se na tradiciju drvoprerade i povezanost sa regionalnim tržištem.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57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Javna komunalna preduzeća (JKP)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zapošljavaju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500 ljudi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potvrđujući važnu socijalnu i infrastrukturnu ulogu u gradu.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57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Trgovina na veliko i malo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zajedno okupljaju više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750 radnika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pri čemu dominiraju promet i fleksibilnost, ali sa značajnim razlikama u profitabilnosti između veletrgovine i maloprodaje.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57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Transport i logistika (drumski prevoz tereta i putnika)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sa ukupno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500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ovi sektori potvrđuju važnost Novog Pazara kao regionalnog čvorišta trgovine i komunikacija.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57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Proizvodnja odeće i drvoprerada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sa skoro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200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iako manji po obimu, sektori su značajni jer prate dugogodišnju tradiciju zanatstva i industrijske proizvodnje.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57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Prehrambena industrija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relativno mali sektor (oko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60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), ali sa strateškim značajem za lokalnu zajednicu.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Strukturne karakteristike: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Ukupna zaposlenost u analiziranim preduzećima prelazi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3.400 ljudi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a raspodela pokazuje nekoliko važnih osobina: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58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Diversifikacija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iako nijedan sektor ne dominira apsolutno, građevinarstvo, trgovina i javna komunalna preduzeća čine preko polovine ukupne zaposlenosti.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58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Balans između proizvodnje i usluga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Novi Pazar ima i razvijenu industrijsku bazu (nameštaj, odeća, prehrambeni proizvodi), ali i jak sektor usluga (trgovina, transport, komunalne usluge).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58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Mikro i mala preduzeća kao okosnica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iako postoje pojedine velike firme, najveći broj zaposlenih dolazi iz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manjih i srednjih firmi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je tipično za lokalne ekonomije u tranziciji.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Socijalno-ekonomski značaj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459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Stabilnost zaposlenosti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najveći sektori (građevina, JKP, nameštaj, trgovina) obezbeđuju stabilna radna mesta i amortizuju ekonomske oscilacije.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59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Potencijal za rast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posebno u oblastima drvoprerade, nameštaja i odeće, koji imaju mogućnost za veći izvoz i povezivanje sa međunarodnim lancima vrednosti.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59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Rizici i izazovi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prekomerna zavisnost od sektora niskih marži (trgovina, transport) i javnih službi može dugoročno ograničiti dinamiku privrednog razvoja.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Zaposlenost po granama privrede u Novom Pazaru pokazuje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dinamičnu, ali fragmentisanu strukturu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u kojoj dominiraju građevinarstvo, komunalne usluge i trgovina, dok industrije poput nameštaja, odeće i drvoprerade čuvaju tradiciju i nose razvojni potencijal. Budući razvoj privrede zavisiće od: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60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modernizacije industrijskih sektora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60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povezivanja sa regionalnim i međunarodnim tržištima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460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jačanja malih i srednjih preduzeća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kroz inovacije i digitalizaciju.</w: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Time se Novi Pazar potvrđuje kao grad sa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raznovrsnom privrednom strukturom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oslonjen na kombinaciju tradicionalnih i savremenih sektora, uz prostor za značajan ekonomski napredak.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shd w:val="nil" w:color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b/>
          <w:bCs/>
          <w:highlight w:val="none"/>
        </w:rPr>
      </w:r>
      <w:r>
        <w:rPr>
          <w:b/>
          <w:bCs/>
          <w14:ligatures w14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b/>
          <w:bCs/>
          <w:highlight w:val="none"/>
        </w:rPr>
      </w:r>
      <w:r>
        <w:rPr>
          <w:b/>
          <w:bCs/>
          <w:highlight w:val="none"/>
          <w14:ligatures w14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b/>
          <w:bCs/>
          <w:highlight w:val="none"/>
        </w:rPr>
      </w:r>
      <w:r>
        <w:rPr>
          <w:b/>
          <w:bCs/>
          <w:highlight w:val="none"/>
          <w14:ligatures w14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b/>
          <w:bCs/>
          <w:highlight w:val="none"/>
        </w:rPr>
      </w:r>
      <w:r>
        <w:rPr>
          <w:b/>
          <w:bCs/>
          <w:highlight w:val="none"/>
          <w14:ligatures w14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b/>
          <w:bCs/>
          <w:highlight w:val="none"/>
        </w:rPr>
      </w:r>
      <w:r>
        <w:rPr>
          <w:b/>
          <w:bCs/>
          <w:highlight w:val="none"/>
          <w14:ligatures w14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b/>
          <w:bCs/>
          <w:highlight w:val="none"/>
        </w:rPr>
      </w:r>
      <w:r>
        <w:rPr>
          <w:b/>
          <w:bCs/>
          <w:highlight w:val="none"/>
          <w14:ligatures w14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b/>
          <w:bCs/>
          <w:highlight w:val="none"/>
          <w14:ligatures w14:val="none"/>
        </w:rPr>
      </w:r>
      <w:r>
        <w:rPr>
          <w:b/>
          <w:bCs/>
          <w:highlight w:val="none"/>
          <w14:ligatures w14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b/>
          <w:bCs/>
          <w:highlight w:val="none"/>
          <w14:ligatures w14:val="none"/>
        </w:rPr>
      </w:r>
      <w:r>
        <w:rPr>
          <w:b/>
          <w:bCs/>
          <w:highlight w:val="none"/>
          <w14:ligatures w14:val="none"/>
        </w:rPr>
      </w:r>
      <w:r/>
    </w:p>
    <w:p>
      <w:pPr>
        <w:pStyle w:val="1807"/>
        <w:jc w:val="center"/>
        <w:suppressLineNumbers w:val="0"/>
      </w:pPr>
      <w:r>
        <w:rPr>
          <w:b/>
          <w:bCs/>
          <w:highlight w:val="none"/>
          <w14:ligatures w14:val="none"/>
        </w:rPr>
      </w:r>
      <w:r>
        <w:rPr>
          <w:b/>
          <w:bCs/>
          <w:highlight w:val="none"/>
          <w14:ligatures w14:val="none"/>
        </w:rPr>
      </w:r>
      <w:r/>
    </w:p>
    <w:p>
      <w:pPr>
        <w:pStyle w:val="1807"/>
        <w:jc w:val="center"/>
        <w:suppressLineNumbers w:val="0"/>
      </w:pPr>
      <w:r/>
      <w:bookmarkStart w:id="18" w:name="_Toc18"/>
      <w:r>
        <w:rPr>
          <w:b/>
          <w:bCs/>
          <w:highlight w:val="none"/>
          <w14:ligatures w14:val="none"/>
        </w:rPr>
        <w:t xml:space="preserve">DRUGI DEO</w:t>
      </w:r>
      <w:r>
        <w:br/>
      </w:r>
      <w:r>
        <w:rPr>
          <w:b/>
          <w:bCs/>
          <w:sz w:val="44"/>
          <w:szCs w:val="44"/>
          <w:highlight w:val="none"/>
        </w:rPr>
        <w:t xml:space="preserve">Osnovni statistički pokazatelji o 100 najvećih firmi (po prometu) </w:t>
      </w:r>
      <w:r>
        <w:br/>
      </w:r>
      <w:r>
        <w:rPr>
          <w:b/>
          <w:bCs/>
          <w:sz w:val="44"/>
          <w:szCs w:val="44"/>
          <w:highlight w:val="none"/>
        </w:rPr>
        <w:t xml:space="preserve">u Novom Pazaru, Čačku i Kraljevu</w:t>
      </w:r>
      <w:r/>
      <w:bookmarkEnd w:id="18"/>
      <w:r/>
      <w:r/>
    </w:p>
    <w:p>
      <w:pPr>
        <w:shd w:val="nil" w:color="auto"/>
        <w:rPr>
          <w:highlight w:val="none"/>
        </w:rPr>
        <w:suppressLineNumbers w:val="0"/>
      </w:pPr>
      <w:r>
        <w:rPr>
          <w:highlight w:val="none"/>
        </w:rPr>
        <w:br w:type="page" w:clear="all"/>
      </w:r>
      <w:r>
        <w:rPr>
          <w:highlight w:val="none"/>
        </w:rPr>
      </w:r>
      <w:r/>
    </w:p>
    <w:p>
      <w:pPr>
        <w:jc w:val="center"/>
        <w:shd w:val="nil" w:color="000000"/>
        <w:suppressLineNumbers w:val="0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42190" cy="346382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93529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4642189" cy="3463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65.5pt;height:272.7pt;mso-wrap-distance-left:0.0pt;mso-wrap-distance-top:0.0pt;mso-wrap-distance-right:0.0pt;mso-wrap-distance-bottom:0.0pt;rotation:0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jc w:val="center"/>
        <w:shd w:val="nil" w:color="auto"/>
        <w:rPr>
          <w:b/>
          <w:bCs/>
          <w:sz w:val="32"/>
          <w:szCs w:val="32"/>
          <w:highlight w:val="none"/>
        </w:rPr>
        <w:suppressLineNumbers w:val="0"/>
      </w:pPr>
      <w:r>
        <w:rPr>
          <w:b/>
          <w:bCs/>
          <w:sz w:val="32"/>
          <w:szCs w:val="32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68865" cy="3705628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16996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0" flipH="0" flipV="0">
                          <a:off x="0" y="0"/>
                          <a:ext cx="4768864" cy="37056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75.5pt;height:291.8pt;mso-wrap-distance-left:0.0pt;mso-wrap-distance-top:0.0pt;mso-wrap-distance-right:0.0pt;mso-wrap-distance-bottom:0.0pt;rotation:0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b/>
          <w:bCs/>
          <w:sz w:val="32"/>
          <w:szCs w:val="32"/>
        </w:rPr>
      </w:r>
      <w:r/>
    </w:p>
    <w:p>
      <w:pPr>
        <w:shd w:val="nil" w:color="auto"/>
        <w:rPr>
          <w:b/>
          <w:bCs/>
          <w:sz w:val="32"/>
          <w:szCs w:val="32"/>
        </w:rPr>
        <w:suppressLineNumbers w:val="0"/>
      </w:pPr>
      <w:r>
        <w:rPr>
          <w:b/>
          <w:bCs/>
          <w:sz w:val="32"/>
          <w:szCs w:val="32"/>
          <w:highlight w:val="none"/>
        </w:rPr>
        <w:br w:type="page" w:clear="all"/>
      </w:r>
      <w:r>
        <w:rPr>
          <w:b/>
          <w:bCs/>
          <w:sz w:val="32"/>
          <w:szCs w:val="32"/>
          <w:highlight w:val="none"/>
        </w:rPr>
      </w:r>
      <w:r/>
    </w:p>
    <w:p>
      <w:pPr>
        <w:jc w:val="center"/>
        <w:shd w:val="nil" w:color="000000"/>
        <w:rPr>
          <w:b/>
          <w:bCs/>
          <w:sz w:val="32"/>
          <w:szCs w:val="32"/>
          <w:highlight w:val="none"/>
        </w:rPr>
        <w:suppressLineNumbers w:val="0"/>
      </w:pPr>
      <w:r>
        <w:rPr>
          <w:b/>
          <w:bCs/>
          <w:sz w:val="32"/>
          <w:szCs w:val="32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38335" cy="3460944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2329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rot="0" flipH="0" flipV="0">
                          <a:off x="0" y="0"/>
                          <a:ext cx="4638333" cy="34609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65.2pt;height:272.5pt;mso-wrap-distance-left:0.0pt;mso-wrap-distance-top:0.0pt;mso-wrap-distance-right:0.0pt;mso-wrap-distance-bottom:0.0pt;rotation:0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b/>
          <w:bCs/>
          <w:sz w:val="32"/>
          <w:szCs w:val="32"/>
          <w:highlight w:val="none"/>
        </w:rPr>
        <w:br w:type="page" w:clear="all"/>
      </w:r>
      <w:r>
        <w:rPr>
          <w:b/>
          <w:bCs/>
          <w:sz w:val="32"/>
          <w:szCs w:val="32"/>
          <w:highlight w:val="none"/>
        </w:rPr>
      </w:r>
      <w:r/>
    </w:p>
    <w:p>
      <w:pPr>
        <w:pStyle w:val="1807"/>
        <w:rPr>
          <w:b/>
          <w:bCs/>
          <w:sz w:val="32"/>
          <w:szCs w:val="32"/>
          <w:highlight w:val="none"/>
        </w:rPr>
        <w:suppressLineNumbers w:val="0"/>
      </w:pPr>
      <w:r/>
      <w:bookmarkStart w:id="19" w:name="_Toc19"/>
      <w:r>
        <w:rPr>
          <w:b/>
          <w:bCs/>
          <w:sz w:val="32"/>
          <w:szCs w:val="32"/>
        </w:rPr>
        <w:t xml:space="preserve">Uvod</w:t>
      </w:r>
      <w:r/>
      <w:bookmarkEnd w:id="19"/>
      <w:r/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Novi Pazar je upoređen sa Kraljevom i Čačkom jer ova tri grada imaju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sličan broj stanovnika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svi se kreću u rasponu od oko 100.000 do 120.000 stanovnika, što omogućava relevantno poređenje u pogledu radne snage, potrošnje i urbanih resursa.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Pored demografskih sličnosti, postoje i drugi razlozi za ovakvo poređenje: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480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Regionalna pozicija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sva tri grada su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regionalni centri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 jugozapadnom i centralnom delu Srbije, sa značajnim uticajem na privredne tokove šireg područja.</w:t>
      </w:r>
      <w:r/>
    </w:p>
    <w:p>
      <w:pPr>
        <w:pStyle w:val="1987"/>
        <w:numPr>
          <w:ilvl w:val="0"/>
          <w:numId w:val="480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Privredna struktura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iako postoje razlike u dominantnim granama (Novi Pazar – tekstil i nameštaj, Čačak – mašinska i prehrambena industrija, Kraljevo – elektroindustrija i drvoprerada), sve tri privrede su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diversifikovane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 oslanjaju se na kombinaciju industrije, trgovine i usluga.</w:t>
      </w:r>
      <w:r/>
    </w:p>
    <w:p>
      <w:pPr>
        <w:pStyle w:val="1987"/>
        <w:numPr>
          <w:ilvl w:val="0"/>
          <w:numId w:val="480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Infrastrukturni potencijali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Kraljevo i Čačak imaju razvijeniju industrijsku infrastrukturu i bolju saobraćajnu povezanost (auto-put, železnica), dok Novi Pazar ima dinamičnu privredu i mladu radnu snagu, što poređenje čini dodatno zanimljivim.</w:t>
      </w:r>
      <w:r/>
    </w:p>
    <w:p>
      <w:pPr>
        <w:pStyle w:val="1987"/>
        <w:numPr>
          <w:ilvl w:val="0"/>
          <w:numId w:val="480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Razvojni izazovi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sva tri grada suočavaju se sa sličnim izazovima: odlazak mladih, potreba za inovacijama i digitalizacijom, kao i privlačenje investicija.</w:t>
      </w:r>
      <w:r/>
    </w:p>
    <w:p>
      <w:pPr>
        <w:pStyle w:val="1987"/>
        <w:numPr>
          <w:ilvl w:val="0"/>
          <w:numId w:val="480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Zbog navedenih razloga, poređenje ova tri grada omogućava uočavanje specifičnih prednosti i slabosti Novog Pazara u odnosu na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gradove sličnog obima i značaja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sz w:val="36"/>
          <w:szCs w:val="36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</w:rPr>
      </w:r>
      <w:r/>
    </w:p>
    <w:p>
      <w:p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Analiza je sprovedena na osnovu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100 najvećih preduzeća u svakom gradu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rangiranih prema ostvarenim prihodima u 2024. godini. Kao izvori podataka korišćeni su:</w:t>
      </w:r>
      <w:r/>
    </w:p>
    <w:p>
      <w:pPr>
        <w:pStyle w:val="1987"/>
        <w:numPr>
          <w:ilvl w:val="0"/>
          <w:numId w:val="481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Agencija za privredne registre Republike Srbije (APR)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baza Godišnjih finansijskih izveštaja pravnih lica,</w:t>
      </w:r>
      <w:r/>
    </w:p>
    <w:p>
      <w:pPr>
        <w:pStyle w:val="1987"/>
        <w:numPr>
          <w:ilvl w:val="0"/>
          <w:numId w:val="481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Podaci 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prometu, neto dobiti i broju zaposlenih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koji predstavljaju ključne pokazatelje uspešnosti i obima poslovanja.</w:t>
      </w:r>
      <w:r/>
    </w:p>
    <w:p>
      <w:pPr>
        <w:pStyle w:val="1987"/>
        <w:numPr>
          <w:ilvl w:val="0"/>
          <w:numId w:val="481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Korišćene metode obuhvataju:</w:t>
      </w:r>
      <w:r/>
    </w:p>
    <w:p>
      <w:pPr>
        <w:pStyle w:val="1987"/>
        <w:numPr>
          <w:ilvl w:val="0"/>
          <w:numId w:val="481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Deskriptivnu statistiku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izračunate su aritmetička sredina, medijana, kvartili i raspon vrednosti,</w:t>
      </w:r>
      <w:r/>
    </w:p>
    <w:p>
      <w:pPr>
        <w:pStyle w:val="1987"/>
        <w:numPr>
          <w:ilvl w:val="0"/>
          <w:numId w:val="481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Uporednu analizu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poređenje istih pokazatelja po gradovima,</w:t>
      </w:r>
      <w:r/>
    </w:p>
    <w:p>
      <w:pPr>
        <w:pStyle w:val="1987"/>
        <w:numPr>
          <w:ilvl w:val="0"/>
          <w:numId w:val="481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Sektorsku analizu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analiza po granama industrije (trgovina, građevina, proizvodnja, transport, JKP i dr.),</w:t>
      </w:r>
      <w:r/>
    </w:p>
    <w:p>
      <w:pPr>
        <w:pStyle w:val="1987"/>
        <w:numPr>
          <w:ilvl w:val="0"/>
          <w:numId w:val="481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Grafičke prikaze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box-plot, histogrami i stubičasti grafikoni, koji vizuelno predstavljaju raspodelu podataka.</w:t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Ovakav okvir omogućava jasno poređenje i donošenje zaključaka o specifičnostima privrede svakog grada.</w:t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Svi podaci i analize u ovom izveštaju odnose se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isključivo na 100 najvećih preduzeća (po ostvarenim prihodima) u Novom Pazaru, Kraljevu i Čačku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Iako ova preduzeća predstavljaju ključne aktere lokalnih ekonomija i imaju najveći uticaj na ukupne rezultate, treba naglasiti da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veliki broj mikro i malih preduzeća, kao i preduzetnika, nije obuhvaćen ovim istraživanjem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Podaci su dobijeni iz zvanične baze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Agencije za privredne registre (APR)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na osnovu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Godišnjih finansijskih izveštaja pravnih lica za 2024. godinu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 Oni odražavaju stanje u posmatranom periodu i ne uključuju neformalne ekonomske aktivnosti niti sektore koji nisu među najvećima prema prihodima.</w:t>
      </w:r>
      <w:r>
        <w:rPr>
          <w:rFonts w:ascii="Times New Roman" w:hAnsi="Times New Roman" w:eastAsia="Times New Roman" w:cs="Times New Roman"/>
          <w:sz w:val="24"/>
        </w:rPr>
      </w:r>
      <w:r/>
    </w:p>
    <w:p>
      <w:pPr>
        <w:shd w:val="nil" w:color="000000"/>
        <w:rPr>
          <w:highlight w:val="none"/>
        </w:rPr>
        <w:suppressLineNumbers w:val="0"/>
      </w:pPr>
      <w:r>
        <w:br w:type="page" w:clear="all"/>
      </w:r>
      <w:r/>
    </w:p>
    <w:p>
      <w:pPr>
        <w:pStyle w:val="1807"/>
        <w:suppressLineNumbers w:val="0"/>
      </w:pPr>
      <w:r/>
      <w:bookmarkStart w:id="20" w:name="_Toc20"/>
      <w:r>
        <w:rPr>
          <w:rStyle w:val="1808"/>
          <w:rFonts w:ascii="Times New Roman" w:hAnsi="Times New Roman" w:eastAsia="Times New Roman" w:cs="Times New Roman"/>
          <w:b/>
          <w:bCs/>
          <w:sz w:val="32"/>
          <w:szCs w:val="32"/>
        </w:rPr>
        <w:t xml:space="preserve">1. Statistički pokazatelji o broju zaposlenih — 100 najvećih preduzeća</w:t>
      </w:r>
      <w:r>
        <w:rPr>
          <w:rFonts w:ascii="Times New Roman" w:hAnsi="Times New Roman" w:eastAsia="Times New Roman" w:cs="Times New Roman"/>
          <w:b/>
          <w:bCs/>
          <w:color w:val="000000"/>
          <w:sz w:val="48"/>
        </w:rPr>
        <w:t xml:space="preserve"> </w:t>
      </w:r>
      <w:r/>
      <w:bookmarkEnd w:id="20"/>
      <w:r/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  <w:t xml:space="preserve">Novi Pazar - 100 najvećih firmi (po prometu):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Broj posmatranih firmi: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100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Ukupan broj zaposlenih: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3.437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Aritmetička sredina (prosek):34,37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zaposlenih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Medijana (Q2):16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zaposlenih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Modus:1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zaposlen (najčešći broj; pojavljuje se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7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puta)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Kvartili: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Q1 (25%) =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6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Q2 (50%, medijana) =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16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Q3 (75%) =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37,5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Minimum: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0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Maksimum: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303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IQR (interkvartilni raspon):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Q3 − Q1 =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31,5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Dodatne korisne metrike: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Broj firmi sa manje od 10 zaposlenih: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37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Broj firmi sa 0 zaposlenih: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3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Broj firmi sa ≤ 20 zaposlenih: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56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(56% firmi).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Zbir i udeo najvećih firmi: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Top 5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firmi (303, 296, 213, 167, 160) zapošljava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1.139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ljudi →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~33,14%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ukupno.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Top 10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firmi (303, 296, 213, 167, 160, 137, 135, 109, 88, 87) zapošljava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1.695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ljudi →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~49,32%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ukupno.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Outlier (Tukey) analiza: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Gornja granica za outliere (Q3 + 1,5·IQR) ≈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84,75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pStyle w:val="1987"/>
        <w:numPr>
          <w:ilvl w:val="0"/>
          <w:numId w:val="46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Po toj meri,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11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firmi su outlajeri (&gt;84,75): vrednosti koje iskoče su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85, 87, 88, 109, 135, 137, 160, 167, 213, 296, 303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— dakle oko 11% firmi po veličini su znatno veće od većine.</w:t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Komentar i interpretacija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2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Raspodela je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jako desno nagnuta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(positive skew): postoji mali broj velikih poslodavaca koji zapošljavaju velik deo radne snage, dok većina firmi ima relativno malo zaposlenih.</w:t>
      </w:r>
      <w:r/>
    </w:p>
    <w:p>
      <w:pPr>
        <w:pStyle w:val="1987"/>
        <w:numPr>
          <w:ilvl w:val="0"/>
          <w:numId w:val="462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Zbog te nagnutosti,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prosek (34,37)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je znatno veći od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medijane (16)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— to znači da „tipična“ firma (medijana) ima mnogo manje zaposlenih nego što sugeriše aritmetička sredina. Zbog toga je medijana često bolji pokazatelj za tipičnu firmu u ovoj raspodeli.</w:t>
      </w:r>
      <w:r/>
    </w:p>
    <w:p>
      <w:pPr>
        <w:pStyle w:val="1987"/>
        <w:numPr>
          <w:ilvl w:val="0"/>
          <w:numId w:val="462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Polovina ukupnog broja zaposlenih radi kod približno 10 najvećih firmi (top-10 drži ~49% ukupnog zapošljavanja) — visok stepen koncentracije zaposlenosti u malom broju kompanija.</w:t>
      </w:r>
      <w:r/>
    </w:p>
    <w:p>
      <w:pPr>
        <w:pStyle w:val="1987"/>
        <w:numPr>
          <w:ilvl w:val="0"/>
          <w:numId w:val="462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Veliki broj mikro/preduzeća (0–10 zaposlenih) potvrđuje dominantnu ulogu malih firmi po učestalosti, ali ne i po udelu u ukupnom zapošljavanju.</w:t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highlight w:val="none"/>
        </w:rPr>
        <w:t xml:space="preserve">Kraljevo -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highlight w:val="none"/>
        </w:rPr>
        <w:t xml:space="preserve"> 100 najvećih firmi (po prometu)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highlight w:val="none"/>
        </w:rPr>
        <w:t xml:space="preserve">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highlight w:val="none"/>
        </w:rPr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Ukupan broj zaposlenih: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7.220</w:t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Broj preduzeća: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100</w:t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Osnovni pokazatelji</w:t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Aritmetička sredina (prosek):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72,2 zaposlenih</w:t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Medijana (Q2):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46 zaposlenih</w:t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Modus: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18 zaposlenih (najčešći broj u listi)</w:t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Minimum: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0</w:t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Maksimum: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859</w:t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Kvartili</w:t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Q1 (25% firmi ispod):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19</w:t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Q2 (50%, medijana):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46</w:t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Q3 (75% firmi ispod):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98</w:t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Interkvartilni raspon</w:t>
      </w:r>
      <w:r/>
    </w:p>
    <w:p>
      <w:pPr>
        <w:pStyle w:val="1987"/>
        <w:numPr>
          <w:ilvl w:val="0"/>
          <w:numId w:val="46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IQR = Q3 − Q1 = 79</w:t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Komentar i interpretacija: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4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Raspodela je desno nagnuta (skewed right):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prosečna firma ima 72 zaposlena, ali polovina firmi (medijana) ima 46 ili manje. To znači da velike firme (preko 200 radnika) značajno „vuku“ prosek naviše.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4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Četvrtina firmi (Q1)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ima do 19 zaposlenih → to pokazuje značajno prisustvo mikro i malih preduzeća.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4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75% firmi (Q3)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ima do 98 zaposlenih, što znači da samo gornjih 25% firmi prelazi taj prag i čini glavni deo industrijske i komunalne snage Kraljeva.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4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Top-5 firmi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Eurotay 859, GIR 700, JKP Čistoća 304, JKP Vodovod 273, Radijator-inžinjering 269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zapošljavaju ukupno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2.405 ljudi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čini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33% ukupnog broja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 prvih 100 firmi. Dakle, trećina radne snage koncentrisana je u pet najvećih preduzeća.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4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Modus (18)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pokazuje da ima više manjih firmi sa sličnim kapacitetom (18 zaposlenih je broj koji se najviše ponavlja).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Čačak — </w: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  <w:t xml:space="preserve"> 100 najvećih firmi (po prometu)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Ukupan broj zaposlenih:12.043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Broj firmi: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100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Aritmetička sredina (prosek):120,43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Medijana (Q2):67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Modus (više modalna raspodela):18, 35, 82, 84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(svaki se javlja po 3 puta)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Kvartili: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Q1 (25%) ≈ 33,75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Q2 (50%) = 67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Q3 (75%) ≈ 126,25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Interkvartilni raspon (IQR):Q3 − Q1 = 92,5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Minimum:5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Maksimum:1.955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Dodatni uvidi (koncentracija i outlajeri)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Top-5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firmi (1.955, 701, 614, 449, 345)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4.064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ljudi →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≈33,75%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ukupno.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Top-10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firmi zapošljava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5.523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ljudi →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≈45,86%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ukupno.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Outlajeri (Tukey gornja granica)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granica =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Q3 + 1,5·IQR = 265,0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Kao „visoki“ outlajeri izdvajaju se: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1.955, 701, 614, 449, 345, 337, 325, 313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(ukupno 8 firmi).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Distribucioni preseci: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≤20 zaposlenih:15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firmi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≤50 zaposlenih:38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firmi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≥100 zaposlenih:32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firmi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60368" cy="3552000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93529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4760367" cy="3551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74.8pt;height:279.7pt;mso-wrap-distance-left:0.0pt;mso-wrap-distance-top:0.0pt;mso-wrap-distance-right:0.0pt;mso-wrap-distance-bottom:0.0pt;rotation:0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Komentar i interpretacija: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466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Raspodela 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jako desno nagnuta (skewed right)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postoji manji broj vrlo velikih poslodavaca (posebno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Sloboda AD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koji značajno „vuku“ prosek naviše.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6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Prosek (120,43)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je znatno veći od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medijane (67)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znači da „tipična“ firma ima manje zaposlenih nego što sugeriše prosečna vrednost.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6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Koncentracija zaposlenih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je visoka: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top-10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firmi drži skoro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lovinu ukupnog zapošljavanja među 100 najvećih, dok čak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25%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firmi ima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34 ili manje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zaposlenih (Q1).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6"/>
        </w:num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Višestruki modusi (18, 35, 82, 84)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ukazuju na to da postoje „česte veličine“ manjih i srednjih firmi, ali bez jednog dominantnog „najčešćeg“ broja</w:t>
      </w:r>
      <w:r>
        <w:rPr>
          <w:sz w:val="24"/>
          <w:szCs w:val="24"/>
        </w:rPr>
      </w:r>
      <w:r/>
    </w:p>
    <w:p>
      <w:pPr>
        <w:contextualSpacing w:val="0"/>
        <w:ind w:left="0" w:firstLine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ind w:left="0" w:firstLine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Tabela 1: Uporedni podaci po gradovima:</w:t>
      </w:r>
      <w:r>
        <w:rPr>
          <w:sz w:val="24"/>
          <w:szCs w:val="24"/>
        </w:rPr>
      </w:r>
      <w:r/>
    </w:p>
    <w:tbl>
      <w:tblPr>
        <w:tblStyle w:val="1839"/>
        <w:tblW w:w="0" w:type="auto"/>
        <w:jc w:val="center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870"/>
        <w:gridCol w:w="1310"/>
        <w:gridCol w:w="673"/>
        <w:gridCol w:w="896"/>
        <w:gridCol w:w="1017"/>
        <w:gridCol w:w="450"/>
        <w:gridCol w:w="337"/>
        <w:gridCol w:w="570"/>
        <w:gridCol w:w="457"/>
        <w:gridCol w:w="510"/>
        <w:gridCol w:w="677"/>
        <w:gridCol w:w="718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7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b/>
                <w:bCs/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Grad</w:t>
            </w:r>
            <w:r>
              <w:rPr>
                <w:b/>
                <w:bCs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31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zCs w:val="22"/>
              </w:rPr>
              <w:t xml:space="preserve">Ukupno zaposlenih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73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zCs w:val="22"/>
              </w:rPr>
              <w:t xml:space="preserve">Broj firmi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96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zCs w:val="22"/>
              </w:rPr>
              <w:t xml:space="preserve">Arit. sredina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zCs w:val="22"/>
              </w:rPr>
              <w:t xml:space="preserve">Medijana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5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zCs w:val="22"/>
              </w:rPr>
              <w:t xml:space="preserve">Q1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zCs w:val="22"/>
              </w:rPr>
              <w:t xml:space="preserve">Q2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zCs w:val="22"/>
              </w:rPr>
              <w:t xml:space="preserve">Q3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5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zCs w:val="22"/>
              </w:rPr>
              <w:t xml:space="preserve">Min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1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zCs w:val="22"/>
              </w:rPr>
              <w:t xml:space="preserve">Max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77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zCs w:val="22"/>
              </w:rPr>
              <w:t xml:space="preserve">Top-5 %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718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2"/>
                <w:szCs w:val="22"/>
              </w:rPr>
              <w:t xml:space="preserve">Top-10 %</w:t>
            </w:r>
            <w:r>
              <w:rPr>
                <w:sz w:val="22"/>
                <w:szCs w:val="22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7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b w:val="0"/>
                <w:bCs w:val="0"/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Novi Pazar</w:t>
            </w:r>
            <w:r>
              <w:rPr>
                <w:b w:val="0"/>
                <w:bCs w:val="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310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3.437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73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100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96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34,37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16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50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7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16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37,5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57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10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303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77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33,1%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718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49,3%</w:t>
            </w:r>
            <w:r>
              <w:rPr>
                <w:sz w:val="22"/>
                <w:szCs w:val="22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7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b w:val="0"/>
                <w:bCs w:val="0"/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Kraljevo</w:t>
            </w:r>
            <w:r>
              <w:rPr>
                <w:b w:val="0"/>
                <w:bCs w:val="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310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7.220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73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100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96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72,20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46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50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19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7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46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98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57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10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859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77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33,3%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718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—</w:t>
            </w:r>
            <w:r>
              <w:rPr>
                <w:sz w:val="22"/>
                <w:szCs w:val="22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70" w:type="dxa"/>
            <w:vAlign w:val="center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b w:val="0"/>
                <w:bCs w:val="0"/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2"/>
                <w:szCs w:val="22"/>
              </w:rPr>
              <w:t xml:space="preserve">Čačak</w:t>
            </w:r>
            <w:r>
              <w:rPr>
                <w:b w:val="0"/>
                <w:bCs w:val="0"/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310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12.043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73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100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896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120,43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1017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67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50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33,8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337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67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70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126,3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457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5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510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1955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677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33,8%</w:t>
            </w:r>
            <w:r>
              <w:rPr>
                <w:sz w:val="22"/>
                <w:szCs w:val="22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5" w:type="dxa"/>
              <w:top w:w="15" w:type="dxa"/>
              <w:right w:w="15" w:type="dxa"/>
              <w:bottom w:w="15" w:type="dxa"/>
            </w:tcMar>
            <w:tcW w:w="718" w:type="dxa"/>
            <w:vAlign w:val="center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22"/>
                <w:szCs w:val="22"/>
              </w:rPr>
              <w:suppressLineNumbers w:val="0"/>
            </w:pPr>
            <w:r>
              <w:rPr>
                <w:rFonts w:ascii="Times New Roman" w:hAnsi="Times New Roman" w:eastAsia="Times New Roman" w:cs="Times New Roman"/>
                <w:color w:val="000000"/>
                <w:sz w:val="22"/>
                <w:szCs w:val="22"/>
              </w:rPr>
              <w:t xml:space="preserve">45,9%</w:t>
            </w:r>
            <w:r>
              <w:rPr>
                <w:sz w:val="22"/>
                <w:szCs w:val="22"/>
              </w:rPr>
            </w:r>
            <w:r/>
          </w:p>
        </w:tc>
      </w:tr>
    </w:tbl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987"/>
        <w:numPr>
          <w:ilvl w:val="0"/>
          <w:numId w:val="467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Novi Pazar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Dominacija mikro i malih firmi (više od polovine ima ≤20 zaposlenih). Nekoliko srednje velikih firmi podiže prosek, ali tipična firma je mala.</w:t>
      </w:r>
      <w:r/>
    </w:p>
    <w:p>
      <w:pPr>
        <w:pStyle w:val="1987"/>
        <w:numPr>
          <w:ilvl w:val="0"/>
          <w:numId w:val="467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Kraljevo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 Srednje razvijen profil — više firmi u rasponu 40–100 zaposlenih, dok top-5 preduzeća zapošljava trećinu svih radnika. Prosek veći od medijane, što pokazuje da veće firme „vuku“ proseke.</w:t>
      </w:r>
      <w:r/>
    </w:p>
    <w:p>
      <w:pPr>
        <w:pStyle w:val="1987"/>
        <w:numPr>
          <w:ilvl w:val="0"/>
          <w:numId w:val="467"/>
        </w:numPr>
        <w:contextualSpacing w:val="0"/>
        <w:jc w:val="left"/>
        <w:spacing w:before="0" w:after="0"/>
        <w:rPr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Čačak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 Najizraženija koncentracija velikih sistema (Sloboda AD sa 1.955 zaposlenih, plus još nekoliko preko 300). Prosek je 120, ali tipična firma (medijana) ima 67 zaposlenih. Skoro polovina svih zaposlenih koncentrisana je u top-10 firmi.</w:t>
      </w:r>
      <w:r/>
    </w:p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42175" cy="3012444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22644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4942174" cy="3012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89.1pt;height:237.2pt;mso-wrap-distance-left:0.0pt;mso-wrap-distance-top:0.0pt;mso-wrap-distance-right:0.0pt;mso-wrap-distance-bottom:0.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Boxplot pokazuje raspodelu broja zaposlenih po firmama u tri grada.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U sva tri slučaja raspodela je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desno nagnuta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(skewed right).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Čačak ima najizraženije outliere (Sloboda AD).</w:t>
      </w:r>
      <w:r/>
    </w:p>
    <w:p>
      <w:pPr>
        <w:contextualSpacing w:val="0"/>
        <w:jc w:val="center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82122" cy="3481515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693762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0" flipH="0" flipV="0">
                          <a:off x="0" y="0"/>
                          <a:ext cx="4382121" cy="34815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45.0pt;height:274.1pt;mso-wrap-distance-left:0.0pt;mso-wrap-distance-top:0.0pt;mso-wrap-distance-right:0.0pt;mso-wrap-distance-bottom:0.0pt;rotation:0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Tumačenje Lorencovih krivih: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68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Novi Pazar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 Kriva je najudaljenija od dijagonale potpune jednakosti → što znači da mali broj najvećih firmi zapošljava nesrazmerno veliki deo radne snage. Tipično za privredu sa mnoštvom mikro-preduzeća i nekoliko srednje velikih poslodavaca.</w:t>
      </w:r>
      <w:r/>
    </w:p>
    <w:p>
      <w:pPr>
        <w:pStyle w:val="1987"/>
        <w:numPr>
          <w:ilvl w:val="0"/>
          <w:numId w:val="468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Kraljevo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 Kriva je nešto „ravnija“ nego u Novom Pazaru, što ukazuje na umereniju raspodelu. Ipak, i ovde top-5 preduzeća drže trećinu zaposlenih, pa je koncentracija i dalje visoka.</w:t>
      </w:r>
      <w:r/>
    </w:p>
    <w:p>
      <w:pPr>
        <w:pStyle w:val="1987"/>
        <w:numPr>
          <w:ilvl w:val="0"/>
          <w:numId w:val="468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Čačak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 Kriva ima sličan oblik kao u Kraljevu, ali sa još izraženijim „skokom“ kod najvećih firmi (naročito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Sloboda AD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). To znači da je udeo zaposlenih u najvećim firmama vrlo veliki, dok većina ostalih firmi ima značajno manji kapacitet.</w:t>
      </w:r>
      <w:r/>
    </w:p>
    <w:p>
      <w:pPr>
        <w:contextualSpacing w:val="0"/>
        <w:jc w:val="left"/>
        <w:spacing w:before="0" w:after="0"/>
        <w:suppressLineNumbers w:val="0"/>
      </w:pPr>
      <w:r/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shd w:val="nil" w:color="auto"/>
        <w:suppressLineNumbers w:val="0"/>
      </w:pPr>
      <w:r>
        <w:rPr>
          <w:rStyle w:val="1808"/>
          <w:sz w:val="32"/>
          <w:szCs w:val="32"/>
          <w:highlight w:val="none"/>
        </w:rPr>
        <w:br w:type="page" w:clear="all"/>
      </w:r>
      <w:r>
        <w:rPr>
          <w:rStyle w:val="1808"/>
          <w:sz w:val="32"/>
          <w:szCs w:val="32"/>
          <w:highlight w:val="none"/>
        </w:rPr>
      </w:r>
      <w:r/>
    </w:p>
    <w:p>
      <w:pPr>
        <w:pStyle w:val="1807"/>
        <w:rPr>
          <w:rStyle w:val="1808"/>
          <w:b/>
          <w:bCs/>
          <w:sz w:val="32"/>
          <w:szCs w:val="32"/>
          <w:highlight w:val="none"/>
        </w:rPr>
        <w:suppressLineNumbers w:val="0"/>
      </w:pPr>
      <w:r/>
      <w:bookmarkStart w:id="21" w:name="_Toc21"/>
      <w:r>
        <w:rPr>
          <w:rStyle w:val="1808"/>
          <w:b/>
          <w:bCs/>
          <w:sz w:val="32"/>
          <w:szCs w:val="32"/>
        </w:rPr>
        <w:t xml:space="preserve">2. Statistička analiza prihoda 100 najvećih firmi u Novom Pazaru, Čačku i Kraljevu</w:t>
      </w:r>
      <w:r/>
      <w:bookmarkEnd w:id="21"/>
      <w:r/>
      <w:r/>
    </w:p>
    <w:p>
      <w:pPr>
        <w:pStyle w:val="1809"/>
        <w:jc w:val="both"/>
        <w:rPr>
          <w:sz w:val="28"/>
          <w:szCs w:val="28"/>
        </w:rPr>
        <w:suppressLineNumbers w:val="0"/>
      </w:pPr>
      <w:r/>
      <w:bookmarkStart w:id="22" w:name="_Toc22"/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2.1. Analiza prometa (prihoda) 100 najvećih firmi u Novom Pazaru</w:t>
      </w:r>
      <w:r/>
      <w:bookmarkEnd w:id="22"/>
      <w:r/>
      <w:r/>
    </w:p>
    <w:p>
      <w:pPr>
        <w:contextualSpacing w:val="0"/>
        <w:jc w:val="both"/>
        <w:spacing w:before="0" w:after="0"/>
        <w:suppressLineNumbers w:val="0"/>
      </w:pPr>
      <w:r/>
      <w:r/>
    </w:p>
    <w:p>
      <w:pPr>
        <w:pStyle w:val="1987"/>
        <w:numPr>
          <w:ilvl w:val="0"/>
          <w:numId w:val="469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Ukupan promet (100 firmi):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447.035.003 €</w:t>
      </w:r>
      <w:r/>
    </w:p>
    <w:p>
      <w:pPr>
        <w:pStyle w:val="1987"/>
        <w:numPr>
          <w:ilvl w:val="0"/>
          <w:numId w:val="469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Aritmetička sredina: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4.470.350 €</w:t>
      </w:r>
      <w:r/>
    </w:p>
    <w:p>
      <w:pPr>
        <w:pStyle w:val="1987"/>
        <w:numPr>
          <w:ilvl w:val="0"/>
          <w:numId w:val="469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Medijana: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2.405.820 €</w:t>
      </w:r>
      <w:r/>
    </w:p>
    <w:p>
      <w:pPr>
        <w:pStyle w:val="1987"/>
        <w:numPr>
          <w:ilvl w:val="0"/>
          <w:numId w:val="469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Modus: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nema jedinstvenog, više vrednosti se ponavlja (npr. oko 1.822.000 i 1.704.000).</w:t>
      </w:r>
      <w:r/>
    </w:p>
    <w:p>
      <w:pPr>
        <w:pStyle w:val="1987"/>
        <w:numPr>
          <w:ilvl w:val="0"/>
          <w:numId w:val="469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Kvartili:</w:t>
      </w:r>
      <w:r/>
    </w:p>
    <w:p>
      <w:pPr>
        <w:pStyle w:val="1987"/>
        <w:numPr>
          <w:ilvl w:val="0"/>
          <w:numId w:val="469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Q1 (25% firmi ispod) ≈ 1.822.000 €</w:t>
      </w:r>
      <w:r/>
    </w:p>
    <w:p>
      <w:pPr>
        <w:pStyle w:val="1987"/>
        <w:numPr>
          <w:ilvl w:val="0"/>
          <w:numId w:val="469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Q2 (50%, medijana) = 2.405.820 €</w:t>
      </w:r>
      <w:r/>
    </w:p>
    <w:p>
      <w:pPr>
        <w:pStyle w:val="1987"/>
        <w:numPr>
          <w:ilvl w:val="0"/>
          <w:numId w:val="469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Q3 (75% firmi ispod) ≈ 5.922.000 €</w:t>
      </w:r>
      <w:r/>
    </w:p>
    <w:p>
      <w:pPr>
        <w:pStyle w:val="1987"/>
        <w:numPr>
          <w:ilvl w:val="0"/>
          <w:numId w:val="469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Minimum: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1.661.301 €</w:t>
      </w:r>
      <w:r/>
    </w:p>
    <w:p>
      <w:pPr>
        <w:pStyle w:val="1987"/>
        <w:numPr>
          <w:ilvl w:val="0"/>
          <w:numId w:val="469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Maksimum: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34.240.759 €</w:t>
      </w:r>
      <w:r/>
    </w:p>
    <w:p>
      <w:pPr>
        <w:pStyle w:val="1987"/>
        <w:numPr>
          <w:ilvl w:val="0"/>
          <w:numId w:val="469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Top-5 firmi po prihodu: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≈ 100.7 mil. € (22,5% ukupnog prometa)</w:t>
      </w:r>
      <w:r/>
    </w:p>
    <w:p>
      <w:pPr>
        <w:pStyle w:val="1987"/>
        <w:numPr>
          <w:ilvl w:val="0"/>
          <w:numId w:val="469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Top-10 firmi: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≈ 162,9 mil. € (36,4% ukupnog prometa)</w:t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Komentar</w:t>
      </w:r>
      <w:r>
        <w:rPr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Raspodela prihoda 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jako desno nagnuta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većina firmi ima između 2–6 miliona evra prometa, dok nekoliko velikih firmi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Novi Pazar-Put, Milord, Erwin, D&amp;M Internacional, HBC System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dominira i podiže prosek.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Prosek (4,47 mil.) je gotovo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dva puta veći od medijane (2,41 mil.)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što znači da tipična firma ostvaruje znatno manji prihod od prosečnog.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25% firmi ima prihode ispod 1,82 miliona €, dok samo 25% firmi prelazi 5,92 miliona €.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Povezanost prihoda i zaposlenih: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 po zaposlenom (ukupno):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≈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130.000 € po zaposlenom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Kod manjih firmi (sa 1–10 radnika), prihod po zaposlenom često prelazi 200.000–300.000 €, pa čak i više — što ukazuje na firmice specijalizovane za trgovinu, špediciju ili logistiku sa visokim prometom, ali malim brojem ljudi.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2"/>
        </w:numPr>
        <w:contextualSpacing w:val="0"/>
        <w:jc w:val="both"/>
        <w:spacing w:before="0" w:after="0"/>
        <w:rPr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Kod najvećih firmi (preko 200 zaposlenih), prihod po zaposlenom je niži, često 30.000–60.000 €, što je tipično za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građevinarstvo, komunalna preduzeća i tekstilnu proizvodnju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gde je rad intenzivniji a marže manje.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Klasifikacija po veličini i efikasnosti</w:t>
      </w:r>
      <w:r>
        <w:rPr>
          <w:sz w:val="24"/>
          <w:szCs w:val="24"/>
        </w:rPr>
        <w:t xml:space="preserve">:</w:t>
      </w:r>
      <w:r>
        <w:rPr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48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Mikro i male firme (do 20 radnika):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ukupno mali broj zaposlenih, ali vrlo često imaju nesrazmerno visok prihod po zaposlenom → znak specijalizacije ili velike obrtne trgovine.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Srednje firme (50–150 radnika):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balansiran odnos, prihod po zaposlenom uglavnom između 50.000–120.000 €.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Velike firme (200+ radnika):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nose ukupno najveći broj zaposlenih, ali sa nižim prihodom po radniku, jer rade u radno intenzivnim sektorima (komunalne službe, građevina, tekstil).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Novi Pazar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ima vrlo fragmentisanu privrednu strukturu — većina firmi su male i srednje, ali promet je snažno koncentrisan kod desetak najvećih. Odnos između prihoda i zaposlenih pokazuje jasnu podelu: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velike firme drže ljude, male firme drže promet po zaposlenom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93065" cy="3820974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38349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5293063" cy="382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16.8pt;height:300.9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Boxplot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pokazuje da je većina firmi između 2 i 6 miliona € prometa, ali nekoliko ekstremno velikih firmi (preko 15–30 miliona) značajno podiže gornju granicu.</w:t>
      </w:r>
      <w:r>
        <w:rPr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78790" cy="3711365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78901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rot="0" flipH="0" flipV="0">
                          <a:off x="0" y="0"/>
                          <a:ext cx="5378789" cy="3711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23.5pt;height:292.2pt;mso-wrap-distance-left:0.0pt;mso-wrap-distance-top:0.0pt;mso-wrap-distance-right:0.0pt;mso-wrap-distance-bottom:0.0pt;rotation:0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Histogram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potvrđuje da najveći broj firmi ostvaruje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prihode u donjem segmentu (1–5 mil. €)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dok samo mali broj probija 10 miliona.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Scatter prikaz: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Broj zaposlenih vs Prihod</w:t>
      </w:r>
      <w:r>
        <w:rPr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07989" cy="3524512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95324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0" flipH="0" flipV="0">
                          <a:off x="0" y="0"/>
                          <a:ext cx="5107988" cy="35245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02.2pt;height:277.5pt;mso-wrap-distance-left:0.0pt;mso-wrap-distance-top:0.0pt;mso-wrap-distance-right:0.0pt;mso-wrap-distance-bottom:0.0pt;rotation:0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Vidi se da firme sa većim brojem zaposlenih (200+) imaju veće apsolutne prihode, ali nisu nužno proporcionalno efikasnije.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Nekoliko manjih firmi (ispod 50 radnika) takođe iskače sa visokim prihodima (10+ miliona).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Scatter prikaz: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 Broj zaposlenih vs Prihod po zaposlenom</w:t>
      </w:r>
      <w:r>
        <w:rPr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19349" cy="3485083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28586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rot="0" flipH="0" flipV="0">
                          <a:off x="0" y="0"/>
                          <a:ext cx="4819348" cy="34850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79.5pt;height:274.4pt;mso-wrap-distance-left:0.0pt;mso-wrap-distance-top:0.0pt;mso-wrap-distance-right:0.0pt;mso-wrap-distance-bottom:0.0pt;rotation:0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484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Male firme (1–10 zaposlenih)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promet po radniku često izuzetno visok (200–400 hiljada € pa i više).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4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Srednje firme (50–150 zaposlenih)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prihod po zaposlenom stabilizuje se između 50–150 hiljada €.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4"/>
        </w:numPr>
        <w:contextualSpacing w:val="0"/>
        <w:jc w:val="left"/>
        <w:spacing w:before="0" w:after="0"/>
        <w:rPr>
          <w:sz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Velike firme (200+)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prihod po zaposlenom je niži (30–60 hiljada €), što je tipično za radno-intenzivne sektore (građevinarstvo, komunalne službe, tekstil).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  <w:br w:type="page" w:clear="all"/>
      </w:r>
      <w:r>
        <w:rPr>
          <w:sz w:val="24"/>
          <w:szCs w:val="24"/>
        </w:rPr>
      </w:r>
      <w:r/>
    </w:p>
    <w:p>
      <w:pPr>
        <w:pStyle w:val="1809"/>
        <w:jc w:val="both"/>
        <w:suppressLineNumbers w:val="0"/>
      </w:pPr>
      <w:r/>
      <w:bookmarkStart w:id="23" w:name="_Toc23"/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2.2. Analiza prometa (prihoda) 100 najvećih firmi u Čačku</w:t>
      </w:r>
      <w:r/>
      <w:bookmarkEnd w:id="23"/>
      <w:r/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Statistički pokazatelji za promet (EUR):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48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Ukupan promet (100 firmi):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1.726.224.228 €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Aritmetička sredina: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17.262.242 €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Medijana: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9.490.295 €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Modus: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nema dominantne vrednosti (više vrednosti se ponavlja, npr. oko 6,6–6,8 miliona).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Kvartili: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Q1 (25% firmi ispod) ≈ 5.010.000 €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Q2 (50%, medijana) = 9.490.295 €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Q3 (75% firmi ispod) ≈ 18.930.000 €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Minimum: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3.680.163 €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Maksimum: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181.099.159 €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Auto Čačak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), uz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Slobodu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113,5 miliona i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Unipromet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107 miliona.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Top-5 firmi po prihodu: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≈ 525,6 mil. € (30,5% ukupnog prometa)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5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Top-10 firmi: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≈ 811,3 mil. € (47,0% ukupnog prometa)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Komentar: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486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Raspodela prihoda je izrazito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desno nagnuta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nekoliko industrijskih giganata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Sloboda, Unipromet, Auto Čačak Promet, Vorwerk, BW Converting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dominira tržištem.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6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Prosek (17,26 mil.) je znatno viši od medijane (9,49 mil.), što znači da „tipična“ firma u Čačku ostvaruje skoro duplo manji prihod od prosečnog.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6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25% firmi ima manje od 5 miliona €, dok se tek 25% penje iznad ~19 miliona €.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Povezanost prihoda i zaposlenih</w:t>
      </w:r>
      <w:r>
        <w:rPr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7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 po zaposlenom (ukupno):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≈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143.000 € po zaposlenom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(1.726.224.228 / 12.043).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7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Kod najvećih firmi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Sloboda, Unipromet, Auto Čačak Promet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), prihod po zaposlenom se kreće između 55.000 i 95.000 €, što je očekivano za radno-intenzivne industrijske sektore.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7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Srednje firme (50–200 zaposlenih)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većina se kreće između 100.000 i 200.000 € po radniku, što ukazuje na kombinaciju trgovinskih i prerađivačkih delatnosti.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7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Male firme (do 20 zaposlenih)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često imaju preko 300.000 € po zaposlenom, što odražava trgovinu, logistiku i specijalizovane delatnosti sa velikim prometom ali malim brojem radnika.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Klasifikacija</w:t>
      </w:r>
      <w:r>
        <w:rPr>
          <w:sz w:val="24"/>
          <w:szCs w:val="24"/>
        </w:rPr>
        <w:t xml:space="preserve">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8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Veliki sistemi (200+ radnika):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nose većinu zaposlenih i prihoda, ali prihod po radniku je niži.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8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Mali i srednji preduzetnici: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manje nose u ukupnom zbiru, ali su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efikasniji po zaposlenom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8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Tržište u Čačku je snažno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koncentrisano u industriji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(metal, auto-komponente, tekstil), uz veliki udeo trgovinskih i logističkih firmi.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Boxplot prihoda:</w:t>
      </w:r>
      <w:r>
        <w:rPr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90377" cy="3247190"/>
                <wp:effectExtent l="0" t="0" r="0" b="0"/>
                <wp:docPr id="1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12468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flipH="0" flipV="0">
                          <a:off x="0" y="0"/>
                          <a:ext cx="4490377" cy="3247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353.6pt;height:255.7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Boxplot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pokazuje veliki raspon — većina firmi je između 5 i 20 miliona €, dok nekoliko izuzetno velikih firmi (npr.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Auto Čačak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preko 180 mil. €,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Sloboda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113 mil. € i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Unipromet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107 mil. €) snažno „izvlače“ gornju granicu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Histogram prihoda: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01088" cy="2923110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34078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4201088" cy="2923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30.8pt;height:230.2pt;mso-wrap-distance-left:0.0pt;mso-wrap-distance-top:0.0pt;mso-wrap-distance-right:0.0pt;mso-wrap-distance-bottom:0.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  <w:highlight w:val="none"/>
        </w:rPr>
        <w:suppressLineNumbers w:val="0"/>
      </w:pPr>
      <w:r>
        <w:rPr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Histogram: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većina firmi ima prihode u intervalu 5–20 miliona €, a samo mali broj prelazi 50 miliona €. Distribucija je, kao i u Novom Pazaru, desno nagnuta.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 </w:t>
      </w:r>
      <w:r>
        <w:rPr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  <w:highlight w:val="none"/>
        </w:rPr>
        <w:suppressLineNumbers w:val="0"/>
      </w:pPr>
      <w:r>
        <w:rPr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Broj zaposlenih vs Prihod:</w:t>
      </w:r>
      <w:r>
        <w:rPr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74764" cy="2821800"/>
                <wp:effectExtent l="0" t="0" r="0" b="0"/>
                <wp:docPr id="1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95927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flipH="0" flipV="0">
                          <a:off x="0" y="0"/>
                          <a:ext cx="4174764" cy="2821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328.7pt;height:222.2pt;mso-wrap-distance-left:0.0pt;mso-wrap-distance-top:0.0pt;mso-wrap-distance-right:0.0pt;mso-wrap-distance-bottom:0.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89"/>
        </w:numPr>
        <w:contextualSpacing w:val="0"/>
        <w:jc w:val="both"/>
        <w:spacing w:before="0" w:after="0" w:line="283" w:lineRule="atLeast"/>
        <w:rPr>
          <w:b w:val="0"/>
          <w:bCs w:val="0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Postoji jasan trend da veći broj zaposlenih vodi ka većem prometu, ali odnos nije linearan.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/>
    </w:p>
    <w:p>
      <w:pPr>
        <w:pStyle w:val="1987"/>
        <w:numPr>
          <w:ilvl w:val="0"/>
          <w:numId w:val="489"/>
        </w:numPr>
        <w:contextualSpacing w:val="0"/>
        <w:jc w:val="both"/>
        <w:spacing w:before="0" w:after="0" w:line="283" w:lineRule="atLeast"/>
        <w:rPr>
          <w:b w:val="0"/>
          <w:bCs w:val="0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Neke firme sa srednjim brojem zaposlenih (100–200) ostvaruju vrlo visoke prihode (20–50 miliona €).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/>
    </w:p>
    <w:p>
      <w:pPr>
        <w:pStyle w:val="1987"/>
        <w:numPr>
          <w:ilvl w:val="0"/>
          <w:numId w:val="489"/>
        </w:num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Ekstremno visoke vrednosti (100+ miliona €) ostvaruju giganti sa preko 600 zaposlenih.</w:t>
      </w:r>
      <w:r>
        <w:rPr>
          <w:b w:val="0"/>
          <w:bCs w:val="0"/>
        </w:rPr>
      </w:r>
      <w:r/>
    </w:p>
    <w:p>
      <w:pPr>
        <w:contextualSpacing w:val="0"/>
        <w:ind w:left="0" w:firstLine="0"/>
        <w:jc w:val="both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contextualSpacing w:val="0"/>
        <w:ind w:left="0" w:firstLine="0"/>
        <w:jc w:val="left"/>
        <w:spacing w:before="0" w:after="0" w:line="28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Broj zaposlenih vs Prihod po zaposlenom: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076720" cy="2814825"/>
                <wp:effectExtent l="0" t="0" r="0" b="0"/>
                <wp:docPr id="2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92590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1097" t="0" r="1007" b="0"/>
                        <a:stretch/>
                      </pic:blipFill>
                      <pic:spPr bwMode="auto">
                        <a:xfrm flipH="0" flipV="0">
                          <a:off x="0" y="0"/>
                          <a:ext cx="4076720" cy="2814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321.0pt;height:221.6pt;mso-wrap-distance-left:0.0pt;mso-wrap-distance-top:0.0pt;mso-wrap-distance-right:0.0pt;mso-wrap-distance-bottom:0.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1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Male firme (do 20 radnika) često imaju ogroman prihod po zaposlenom (300–500 hiljada € i više).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/>
    </w:p>
    <w:p>
      <w:pPr>
        <w:pStyle w:val="1987"/>
        <w:numPr>
          <w:ilvl w:val="0"/>
          <w:numId w:val="491"/>
        </w:numPr>
        <w:contextualSpacing w:val="0"/>
        <w:jc w:val="both"/>
        <w:spacing w:before="0" w:after="0" w:line="283" w:lineRule="atLeast"/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Srednje firme (50–200 radnika) prosečno su u rasponu 100–200 hiljada € po radniku.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/>
    </w:p>
    <w:p>
      <w:pPr>
        <w:pStyle w:val="1987"/>
        <w:numPr>
          <w:ilvl w:val="0"/>
          <w:numId w:val="491"/>
        </w:numPr>
        <w:contextualSpacing w:val="0"/>
        <w:jc w:val="both"/>
        <w:spacing w:before="0" w:after="0" w:line="283" w:lineRule="atLeast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Velike firme (200+ radnika), iako ostvaruju najveći apsolutni promet, imaju niži prihod po radniku (50–100 hiljada €), što je tipično za radno-intenzivne industrijske grane.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  <w:br w:type="page" w:clear="all"/>
      </w:r>
      <w:r>
        <w:rPr>
          <w:sz w:val="24"/>
          <w:szCs w:val="24"/>
        </w:rPr>
      </w:r>
      <w:r/>
    </w:p>
    <w:p>
      <w:pPr>
        <w:pStyle w:val="1809"/>
        <w:jc w:val="both"/>
        <w:suppressLineNumbers w:val="0"/>
      </w:pPr>
      <w:r/>
      <w:bookmarkStart w:id="24" w:name="_Toc24"/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2.3. Analiza prometa (prihoda) 100 najvećih firmi u Kraljevu</w:t>
      </w:r>
      <w:r/>
      <w:bookmarkEnd w:id="24"/>
      <w:r/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Statistički pokazatelji za promet (EUR):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492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Ukupan promet (100 firmi):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850.624.604 €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2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Aritmetička sredina: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8.506.246 €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2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Medijana: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4.692.000 €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2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Modus: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nema dominantne vrednosti, ali se promet između 2–5 miliona često ponavlja.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2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Kvartili: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2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Q1 (25% firmi ispod) ≈ 2.640.000 €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2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Q2 (50%, medijana) = 4.692.000 €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2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Q3 (75% firmi ispod) ≈ 9.860.000 €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2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Minimum: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1.952.000 €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2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Maksimum: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95.240.000 €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BELT DOO Ratina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zatim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Elektromontaža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86,2 miliona i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Virdžinija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47,5 miliona).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2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Top-5 firmi po prihodu: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≈ 292,9 mil. € (34,4% ukupnog prometa)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2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Top-10 firmi: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≈ 419,7 mil. € (49,3% ukupnog prometa)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Komentar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3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Distribucija 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desno nagnuta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većina firmi je u rasponu 2–10 miliona €, dok nekoliko velikih preduzeća daleko nadmašuje ostale.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3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Prosek (8,5 mil.) je gotovo duplo veći od medijane (4,7 mil.), što znači da tipična firma ostvaruje značajno manji promet od proseka.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3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Četvrtina firmi ima manje od 2,6 miliona €, dok samo četvrtina prelazi ~10 miliona.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Povezanost prihoda i zaposlenih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Prihod po zaposlenom (ukupno):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≈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118.000 € po zaposlenom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(850,6 miliona / 7.220).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4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Velike firme (200+ zaposlenih):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ostvaruju najviše ukupne prihode, ali prihod po zaposlenom je niži (30.000–80.000 €), što je tipično za komunalna i proizvodna preduzeća.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4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Srednje firme (50–150 zaposlenih):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imaju uravnotežen odnos, često 100.000–150.000 € po zaposlenom.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4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Male firme (do 20 radnika):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često iskazuju veoma visoke vrednosti po radniku (200.000–400.000 €), što je karakteristično za trgovinu, špediciju i specijalizovane servise.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Klasifikacija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Kraljevo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se oslanja na par ključnih giganata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BELT DOO, Elektromontaža, Virdžinija, GIR, Eurotay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), ali većina privrede su mala i srednja preduzeća sa visokim prometom po zaposlenom.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Koncentracija je snažna: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Top-10 firmi drži polovinu prometa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među 100 najvećih.</w:t>
      </w:r>
      <w:r>
        <w:rPr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68010" cy="3592587"/>
                <wp:effectExtent l="0" t="0" r="0" b="0"/>
                <wp:docPr id="2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18307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flipH="0" flipV="0">
                          <a:off x="0" y="0"/>
                          <a:ext cx="4968010" cy="35925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91.2pt;height:282.9pt;mso-wrap-distance-left:0.0pt;mso-wrap-distance-top:0.0pt;mso-wrap-distance-right:0.0pt;mso-wrap-distance-bottom:0.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b w:val="0"/>
          <w:bCs w:val="0"/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Boxplot: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 vidi se veliki raspon, većina firmi ostvaruje između 2 i 10 miliona €, dok nekoliko giganata (BELT DOO, Elektromontaža, Virdžinija, GIR, Eurotay) skaču i prelaze 40–90 miliona €.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    </w:t>
      </w:r>
      <w:r>
        <w:rPr>
          <w:b w:val="0"/>
          <w:bCs w:val="0"/>
          <w:sz w:val="24"/>
          <w:szCs w:val="24"/>
          <w:highlight w:val="none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06496" cy="3322018"/>
                <wp:effectExtent l="0" t="0" r="0" b="0"/>
                <wp:docPr id="2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61682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4806495" cy="3322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378.5pt;height:261.6pt;mso-wrap-distance-left:0.0pt;mso-wrap-distance-top:0.0pt;mso-wrap-distance-right:0.0pt;mso-wrap-distance-bottom:0.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suppressLineNumbers w:val="0"/>
      </w:pPr>
      <w:r>
        <w:rPr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Histogram: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raspodela je snažno desno nagnuta → najviše firmi ima prihode u donjem i srednjem segmentu (2–10 miliona €), dok mali broj firmi dostiže ekstremno visoke vrednosti.</w:t>
      </w:r>
      <w:r>
        <w:rPr>
          <w:b w:val="0"/>
          <w:bCs w:val="0"/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  <w:highlight w:val="none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Cs/>
          <w:color w:val="000000"/>
        </w:rPr>
        <w:suppressLineNumbers w:val="0"/>
      </w:pPr>
      <w:r>
        <w:rPr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Broj zaposlenih vs Prihod: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  <w:highlight w:val="none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28036" cy="3184017"/>
                <wp:effectExtent l="0" t="0" r="0" b="0"/>
                <wp:docPr id="2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22125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rcRect l="914" t="0" r="795" b="0"/>
                        <a:stretch/>
                      </pic:blipFill>
                      <pic:spPr bwMode="auto">
                        <a:xfrm flipH="0" flipV="0">
                          <a:off x="0" y="0"/>
                          <a:ext cx="4528035" cy="31840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356.5pt;height:250.7pt;mso-wrap-distance-left:0.0pt;mso-wrap-distance-top:0.0pt;mso-wrap-distance-right:0.0pt;mso-wrap-distance-bottom:0.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5"/>
        </w:numPr>
        <w:contextualSpacing w:val="0"/>
        <w:jc w:val="both"/>
        <w:spacing w:before="0" w:after="0"/>
        <w:rPr>
          <w:b w:val="0"/>
          <w:bCs w:val="0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Generalno, više zaposlenih znači i veći prihod, ali sa velikim varijacijama.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/>
    </w:p>
    <w:p>
      <w:pPr>
        <w:pStyle w:val="1987"/>
        <w:numPr>
          <w:ilvl w:val="0"/>
          <w:numId w:val="495"/>
        </w:numPr>
        <w:contextualSpacing w:val="0"/>
        <w:jc w:val="both"/>
        <w:spacing w:before="0" w:after="0"/>
        <w:rPr>
          <w:b w:val="0"/>
          <w:bCs w:val="0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Ima firmi sa relativno malo zaposlenih (npr. 100–150), a vrlo visokim prihodima (15–25 miliona €).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/>
    </w:p>
    <w:p>
      <w:pPr>
        <w:pStyle w:val="1987"/>
        <w:numPr>
          <w:ilvl w:val="0"/>
          <w:numId w:val="495"/>
        </w:numPr>
        <w:contextualSpacing w:val="0"/>
        <w:jc w:val="both"/>
        <w:spacing w:before="0" w:after="0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Najveći promet (preko 90 miliona €) ostvaren je firmama sa 150–250 zaposlenih, dok komunalne službe sa 200–300 ljudi imaju relativno skroman prihod.</w:t>
      </w:r>
      <w:r>
        <w:rPr>
          <w:b w:val="0"/>
          <w:bCs w:val="0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  <w:highlight w:val="none"/>
        </w:rPr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Cs/>
          <w:color w:val="000000"/>
        </w:rPr>
        <w:suppressLineNumbers w:val="0"/>
      </w:pPr>
      <w:r>
        <w:rPr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Broj zaposlenih vs Prihod po zaposlenom: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/>
    </w:p>
    <w:p>
      <w:pPr>
        <w:contextualSpacing w:val="0"/>
        <w:jc w:val="center"/>
        <w:spacing w:before="0" w:after="0"/>
        <w:suppressLineNumbers w:val="0"/>
      </w:pPr>
      <w:r>
        <w:rPr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00260" cy="3402923"/>
                <wp:effectExtent l="0" t="0" r="0" b="0"/>
                <wp:docPr id="2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114350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 flipH="0" flipV="0">
                          <a:off x="0" y="0"/>
                          <a:ext cx="4800259" cy="3402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78.0pt;height:267.9pt;mso-wrap-distance-left:0.0pt;mso-wrap-distance-top:0.0pt;mso-wrap-distance-right:0.0pt;mso-wrap-distance-bottom:0.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6"/>
        </w:numPr>
        <w:contextualSpacing w:val="0"/>
        <w:jc w:val="both"/>
        <w:spacing w:before="0" w:after="0"/>
        <w:rPr>
          <w:b w:val="0"/>
          <w:bCs w:val="0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Male firme (do 20 ljudi): promet po zaposlenom često je preko 200–300 hiljada € → znak specijalizacije (trgovina, transport, logistika).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/>
    </w:p>
    <w:p>
      <w:pPr>
        <w:pStyle w:val="1987"/>
        <w:numPr>
          <w:ilvl w:val="0"/>
          <w:numId w:val="496"/>
        </w:numPr>
        <w:contextualSpacing w:val="0"/>
        <w:jc w:val="both"/>
        <w:spacing w:before="0" w:after="0"/>
        <w:rPr>
          <w:b w:val="0"/>
          <w:bCs w:val="0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Srednje firme (50–150 ljudi): prihod po zaposlenom najčešće je između 80–150 hiljada €.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/>
    </w:p>
    <w:p>
      <w:pPr>
        <w:pStyle w:val="1987"/>
        <w:numPr>
          <w:ilvl w:val="0"/>
          <w:numId w:val="496"/>
        </w:numPr>
        <w:contextualSpacing w:val="0"/>
        <w:jc w:val="both"/>
        <w:spacing w:before="0" w:after="0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Velike firme (200+ ljudi): prihod po zaposlenom opada, često 40–80 hiljada €, što je tipično za radno intenzivne sektore poput komunalnih službi i proizvodnje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/>
    </w:p>
    <w:p>
      <w:pPr>
        <w:contextualSpacing w:val="0"/>
        <w:ind w:left="0" w:firstLine="0"/>
        <w:jc w:val="both"/>
        <w:spacing w:before="0" w:after="0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/>
    </w:p>
    <w:p>
      <w:pPr>
        <w:pStyle w:val="1809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suppressLineNumbers w:val="0"/>
      </w:pPr>
      <w:r/>
      <w:bookmarkStart w:id="25" w:name="_Toc25"/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t xml:space="preserve">2.4. Uporedna analiza 100 najvećih preduzeća Novog Pazara, Čačka i Kraljeva na osnovu prometa:</w:t>
      </w:r>
      <w:r/>
      <w:bookmarkEnd w:id="25"/>
      <w:r/>
      <w:r/>
    </w:p>
    <w:p>
      <w:pPr>
        <w:contextualSpacing w:val="0"/>
        <w:ind w:left="0" w:firstLine="0"/>
        <w:jc w:val="both"/>
        <w:spacing w:before="0" w:after="0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U nastavku je predstavljena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 uporedna tabela prometa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za 100 najvećih firmi 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Novom Pazaru, Kraljevu i Čačku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svim ključnim pokazateljima (ukupan promet, sredine, kvartili, koncentracija i prihod po zaposlenom)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p>
      <w:pPr>
        <w:contextualSpacing w:val="0"/>
        <w:ind w:left="0" w:firstLine="0"/>
        <w:jc w:val="both"/>
        <w:spacing w:before="0" w:after="0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tbl>
      <w:tblPr>
        <w:tblStyle w:val="1839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1047"/>
        <w:gridCol w:w="830"/>
        <w:gridCol w:w="697"/>
        <w:gridCol w:w="905"/>
        <w:gridCol w:w="850"/>
        <w:gridCol w:w="850"/>
        <w:gridCol w:w="992"/>
        <w:gridCol w:w="709"/>
        <w:gridCol w:w="577"/>
        <w:gridCol w:w="841"/>
      </w:tblGrid>
      <w:tr>
        <w:trPr>
          <w:trHeight w:val="31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631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Grad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1047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Ukupan promet (EUR)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30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Aritmetička sredina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697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Medijana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90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Q1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50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Q3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50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Min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992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Max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09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Top-5 koncentracija (%)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577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Top-10 koncentracija (%)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000000" w:sz="6" w:space="0"/>
            </w:tcBorders>
            <w:tcMar>
              <w:left w:w="0" w:type="dxa"/>
              <w:top w:w="30" w:type="dxa"/>
              <w:right w:w="0" w:type="dxa"/>
              <w:bottom w:w="30" w:type="dxa"/>
            </w:tcMar>
            <w:tcW w:w="841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Prihod po zaposlenom (EUR)</w:t>
            </w:r>
            <w:r>
              <w:rPr>
                <w:sz w:val="18"/>
                <w:szCs w:val="18"/>
              </w:rPr>
            </w:r>
            <w:r/>
          </w:p>
        </w:tc>
      </w:tr>
      <w:tr>
        <w:trPr>
          <w:trHeight w:val="31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631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Novi Pazar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1047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447.035.003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30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4470350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697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2405820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905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1822000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50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5922000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50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1661301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992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34240759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09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22.5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577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36.4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41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130000</w:t>
            </w:r>
            <w:r>
              <w:rPr>
                <w:sz w:val="18"/>
                <w:szCs w:val="18"/>
              </w:rPr>
            </w:r>
            <w:r/>
          </w:p>
        </w:tc>
      </w:tr>
      <w:tr>
        <w:trPr>
          <w:trHeight w:val="31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631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Kraljevo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1047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850.624.604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30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8506246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697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4692000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905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2640000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50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9860000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50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1952000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992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95239973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09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34.4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577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49.3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41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118000</w:t>
            </w:r>
            <w:r>
              <w:rPr>
                <w:sz w:val="18"/>
                <w:szCs w:val="18"/>
              </w:rPr>
            </w:r>
            <w:r/>
          </w:p>
        </w:tc>
      </w:tr>
      <w:tr>
        <w:trPr>
          <w:trHeight w:val="31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631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Čačak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1047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1.726.224.228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30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17262242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697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9490295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905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5010000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50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18930000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50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3680163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992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181099159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09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30.5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577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47</w:t>
            </w:r>
            <w:r>
              <w:rPr>
                <w:sz w:val="18"/>
                <w:szCs w:val="18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41" w:type="dxa"/>
            <w:vAlign w:val="bottom"/>
            <w:textDirection w:val="lrTb"/>
            <w:noWrap w:val="false"/>
          </w:tcPr>
          <w:p>
            <w:pPr>
              <w:contextualSpacing w:val="0"/>
              <w:jc w:val="right"/>
              <w:spacing w:before="0" w:after="0"/>
              <w:rPr>
                <w:sz w:val="18"/>
                <w:szCs w:val="18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 xml:space="preserve">143000</w:t>
            </w:r>
            <w:r>
              <w:rPr>
                <w:sz w:val="18"/>
                <w:szCs w:val="18"/>
              </w:rPr>
            </w:r>
            <w:r/>
          </w:p>
        </w:tc>
      </w:tr>
    </w:tbl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Evo grafikona koji prikazuje ukupan promet 100 najvećih firmi u tri grada: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497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Novi Pazar: 447.035.003 €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497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Kraljevo: 850.624.604 €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497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Čačak: 1.726.224.228 €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Vidimo da Čačak značajno prednjači po ukupnom prometu, skoro dvostruko u odnosu na Kraljevo i skoro četiri puta više od Novog Pazara: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38335" cy="3460944"/>
                <wp:effectExtent l="0" t="0" r="0" b="0"/>
                <wp:docPr id="2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78479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4638333" cy="346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365.2pt;height:272.5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Kratki uvidi: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8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Čačak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apsolutni lider, sa preko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1,7 milijardi €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ukupnog prometa i najvišim prosekom i prihodima po zaposlenom.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8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Kraljevo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oko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850 miliona €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najviša koncentracija prihoda u top-10 firmi (49,3%).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498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Novi Pazar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najmanji obim prometa (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447 miliona €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), ali prosečan prihod po zaposlenom (130k €) je konkurentan.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suppressLineNumbers w:val="0"/>
      </w:pPr>
      <w:r>
        <w:br w:type="page" w:clear="all"/>
      </w:r>
      <w:r/>
    </w:p>
    <w:p>
      <w:pPr>
        <w:pStyle w:val="1807"/>
        <w:rPr>
          <w:b/>
          <w:bCs/>
          <w:sz w:val="32"/>
          <w:szCs w:val="32"/>
        </w:rPr>
        <w:suppressLineNumbers w:val="0"/>
      </w:pPr>
      <w:r/>
      <w:bookmarkStart w:id="26" w:name="_Toc26"/>
      <w:r>
        <w:rPr>
          <w:b/>
          <w:bCs/>
          <w:sz w:val="32"/>
          <w:szCs w:val="32"/>
        </w:rPr>
        <w:t xml:space="preserve">3. Statistička analiza neto dobiti 100 najvećih firmu u Novom Pazaru, Čačku i Kraljevu</w:t>
      </w:r>
      <w:r/>
      <w:bookmarkEnd w:id="26"/>
      <w:r/>
      <w:r/>
    </w:p>
    <w:p>
      <w:pPr>
        <w:pStyle w:val="1809"/>
        <w:rPr>
          <w:b/>
          <w:bCs/>
          <w:sz w:val="28"/>
          <w:szCs w:val="28"/>
          <w:highlight w:val="none"/>
        </w:rPr>
        <w:suppressLineNumbers w:val="0"/>
      </w:pPr>
      <w:r/>
      <w:bookmarkStart w:id="27" w:name="_Toc27"/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3.1. Analiza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neto dobiti 100 najvećih firmi u Novom Pazaru</w:t>
      </w:r>
      <w:r/>
      <w:bookmarkEnd w:id="27"/>
      <w:r/>
      <w:r/>
    </w:p>
    <w:p>
      <w:pPr>
        <w:contextualSpacing w:val="0"/>
        <w:jc w:val="left"/>
        <w:spacing w:before="0" w:after="0"/>
        <w:tabs>
          <w:tab w:val="left" w:pos="5816" w:leader="none"/>
        </w:tabs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Statistički pokazatelji za neto dobit (EUR):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pStyle w:val="1987"/>
        <w:numPr>
          <w:ilvl w:val="0"/>
          <w:numId w:val="499"/>
        </w:num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Ukupna neto dobit (100 firmi):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16.456.168 €</w:t>
      </w:r>
      <w:r/>
    </w:p>
    <w:p>
      <w:pPr>
        <w:pStyle w:val="1987"/>
        <w:numPr>
          <w:ilvl w:val="0"/>
          <w:numId w:val="499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Aritmetička sredina: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≈ 164.562 €</w:t>
      </w:r>
      <w:r/>
    </w:p>
    <w:p>
      <w:pPr>
        <w:pStyle w:val="1987"/>
        <w:numPr>
          <w:ilvl w:val="0"/>
          <w:numId w:val="499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Medijana: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≈ 60.539 € (tipična firma zarađuje daleko ispod proseka)</w:t>
      </w:r>
      <w:r/>
    </w:p>
    <w:p>
      <w:pPr>
        <w:pStyle w:val="1987"/>
        <w:numPr>
          <w:ilvl w:val="0"/>
          <w:numId w:val="499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Modus: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nema dominantne vrednosti (dosta različitih iznosa, ali nekoliko se ponavlja u rasponu 20–60 hiljada €).</w:t>
      </w:r>
      <w:r/>
    </w:p>
    <w:p>
      <w:pPr>
        <w:pStyle w:val="1987"/>
        <w:numPr>
          <w:ilvl w:val="0"/>
          <w:numId w:val="499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Kvartili:</w:t>
      </w:r>
      <w:r/>
    </w:p>
    <w:p>
      <w:pPr>
        <w:pStyle w:val="1987"/>
        <w:numPr>
          <w:ilvl w:val="0"/>
          <w:numId w:val="499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Q1 (25% firmi ispod): ≈ 27.000 €</w:t>
      </w:r>
      <w:r/>
    </w:p>
    <w:p>
      <w:pPr>
        <w:pStyle w:val="1987"/>
        <w:numPr>
          <w:ilvl w:val="0"/>
          <w:numId w:val="499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Q2 (50%, medijana): 60.539 €</w:t>
      </w:r>
      <w:r/>
    </w:p>
    <w:p>
      <w:pPr>
        <w:pStyle w:val="1987"/>
        <w:numPr>
          <w:ilvl w:val="0"/>
          <w:numId w:val="499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Q3 (75% firmi ispod): ≈ 165.000 €</w:t>
      </w:r>
      <w:r/>
    </w:p>
    <w:p>
      <w:pPr>
        <w:pStyle w:val="1987"/>
        <w:numPr>
          <w:ilvl w:val="0"/>
          <w:numId w:val="499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Minimum: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-308.764 € (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CODE TRADE JNJ DOO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gubitak)</w:t>
      </w:r>
      <w:r/>
    </w:p>
    <w:p>
      <w:pPr>
        <w:pStyle w:val="1987"/>
        <w:numPr>
          <w:ilvl w:val="0"/>
          <w:numId w:val="499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Maksimum: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3.621.692 € (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Novi Pazar-Put D.O.O.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/>
    </w:p>
    <w:p>
      <w:pPr>
        <w:pStyle w:val="1987"/>
        <w:numPr>
          <w:ilvl w:val="0"/>
          <w:numId w:val="499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Top-5 firmi: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≈ 6,4 mil. € (39% ukupne dobiti)</w:t>
      </w:r>
      <w:r/>
    </w:p>
    <w:p>
      <w:pPr>
        <w:pStyle w:val="1987"/>
        <w:numPr>
          <w:ilvl w:val="0"/>
          <w:numId w:val="499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Top-10 firmi: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≈ 9,5 mil. € (58% ukupne dobiti)</w:t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Komentar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500"/>
        </w:num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Raspodela dobiti je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izrazito desno nagnuta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nekoliko velikih firmi ostvaruje milionske profite, dok većina beleži skromne rezultate.</w:t>
      </w:r>
      <w:r/>
    </w:p>
    <w:p>
      <w:pPr>
        <w:pStyle w:val="1987"/>
        <w:numPr>
          <w:ilvl w:val="0"/>
          <w:numId w:val="500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Više firmi posluje sa gubitkom (npr.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CODE TRADE JNJ DOO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PTUP INTERTAS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Kosančićeva Invest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).</w:t>
      </w:r>
      <w:r/>
    </w:p>
    <w:p>
      <w:pPr>
        <w:pStyle w:val="1987"/>
        <w:numPr>
          <w:ilvl w:val="0"/>
          <w:numId w:val="500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Prosek (164k €) je skoro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tri puta veći od medijane (60k €)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što jasno pokazuje da „tipična“ firma zarađuje znatno manje od proseka.</w:t>
      </w:r>
      <w:r/>
    </w:p>
    <w:p>
      <w:pPr>
        <w:pStyle w:val="1987"/>
        <w:numPr>
          <w:ilvl w:val="0"/>
          <w:numId w:val="500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Četvrtina firmi ostvaruje manje od 27k € dobiti godišnje.</w:t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36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Povezanost neto dobiti i broja zaposlenih: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Neto dobit po zaposlenom (ukupno):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≈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4.790 € po zaposlenom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(16,45 miliona / 3.437 radnika).</w:t>
      </w:r>
      <w:r/>
    </w:p>
    <w:p>
      <w:pPr>
        <w:pStyle w:val="1987"/>
        <w:numPr>
          <w:ilvl w:val="0"/>
          <w:numId w:val="50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Velike firme (200+ zaposlenih):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Ostvaruju najveću ukupnu dobit, ali dobit po zaposlenom je niža (npr.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JKP Vodovod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JKP Čistoća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imaju hiljade evra po radniku, ali daleko manje od malih specijalizovanih firmi).</w:t>
      </w:r>
      <w:r/>
    </w:p>
    <w:p>
      <w:pPr>
        <w:pStyle w:val="1987"/>
        <w:numPr>
          <w:ilvl w:val="0"/>
          <w:numId w:val="50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Srednje firme (50–150 zaposlenih):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Više njih postiže stabilan profit (npr.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Erwin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FMO Ekonom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Dasa Nameštaj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), sa dobiti po radniku u rasponu 5.000–15.000 €.</w:t>
      </w:r>
      <w:r/>
    </w:p>
    <w:p>
      <w:pPr>
        <w:pStyle w:val="1987"/>
        <w:numPr>
          <w:ilvl w:val="0"/>
          <w:numId w:val="501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Male firme (ispod 20 zaposlenih):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U proseku su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najefikasnije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po dobiti po zaposlenom – neke prelaze i 20–30 hiljada € po radniku.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Međutim, u ovoj grupi ima i negativnih rezultata (gubici).</w:t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Struktura: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Top-10 firmi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nose više od polovine ukupne dobiti.</w:t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Veliki sistemi (komunalna preduzeća) zapošljavaju najviše ljudi, ali donose relativno mali profit po radniku.</w:t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Mali i srednji privatnici, iako nose manji deo ukupne zaposlenosti, imaju znatno veću profitabilnost po osobi.</w:t>
      </w:r>
      <w:r/>
    </w:p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</w:r>
      <w:r/>
    </w:p>
    <w:p>
      <w:pPr>
        <w:contextualSpacing w:val="0"/>
        <w:jc w:val="center"/>
        <w:spacing w:before="0" w:after="0"/>
        <w:suppressLineNumbers w:val="0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00036" cy="3306276"/>
                <wp:effectExtent l="0" t="0" r="0" b="0"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61609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 flipH="0" flipV="0">
                          <a:off x="0" y="0"/>
                          <a:ext cx="4600036" cy="33062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362.2pt;height:260.3pt;mso-wrap-distance-left:0.0pt;mso-wrap-distance-top:0.0pt;mso-wrap-distance-right:0.0pt;mso-wrap-distance-bottom:0.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Boxplot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pokazuje izrazitu asimetriju — većina firmi ima dobit ispod 200.000 €, dok samo nekoliko firmi „iskače“ sa milionskim profitima (npr. Novi Pazar-Put, Erwin, Braytron Balkan).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:</w:t>
      </w:r>
      <w:r>
        <w:rPr>
          <w:b w:val="0"/>
          <w:bCs w:val="0"/>
          <w:sz w:val="24"/>
          <w:szCs w:val="24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center"/>
        <w:spacing w:before="0" w:after="0"/>
        <w:suppressLineNumbers w:val="0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76460" cy="3373190"/>
                <wp:effectExtent l="0" t="0" r="0" b="0"/>
                <wp:docPr id="2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41795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 flipH="0" flipV="0">
                          <a:off x="0" y="0"/>
                          <a:ext cx="4876459" cy="3373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384.0pt;height:265.6pt;mso-wrap-distance-left:0.0pt;mso-wrap-distance-top:0.0pt;mso-wrap-distance-right:0.0pt;mso-wrap-distance-bottom:0.0pt;" stroked="false">
                <v:path textboxrect="0,0,0,0"/>
                <v:imagedata r:id="rId32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  <w:t xml:space="preserve">Histogram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potvrđuje da je najviše firmi u donjem segmentu (20–200 hiljada € dobiti), dok vrlo mali broj probija granicu od milion.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highlight w:val="none"/>
        </w:rPr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center"/>
        <w:spacing w:before="0" w:after="0"/>
        <w:suppressLineNumbers w:val="0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91181" cy="3370879"/>
                <wp:effectExtent l="0" t="0" r="0" b="0"/>
                <wp:docPr id="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89286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 flipH="0" flipV="0">
                          <a:off x="0" y="0"/>
                          <a:ext cx="4991181" cy="3370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393.0pt;height:265.4pt;mso-wrap-distance-left:0.0pt;mso-wrap-distance-top:0.0pt;mso-wrap-distance-right:0.0pt;mso-wrap-distance-bottom:0.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1987"/>
        <w:numPr>
          <w:ilvl w:val="0"/>
          <w:numId w:val="502"/>
        </w:numPr>
        <w:contextualSpacing w:val="0"/>
        <w:jc w:val="left"/>
        <w:spacing w:before="0" w:after="0"/>
        <w:rPr>
          <w:b w:val="0"/>
          <w:bCs w:val="0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Postoji određena veza između veličine firme i ukupne dobiti, ali nije linearna.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502"/>
        </w:numPr>
        <w:contextualSpacing w:val="0"/>
        <w:jc w:val="left"/>
        <w:spacing w:before="0" w:after="0"/>
        <w:rPr>
          <w:b w:val="0"/>
          <w:bCs w:val="0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Neke velike firme (200+ zaposlenih) imaju relativno skromnu dobit, dok srednje firme (50–150 radnika) često ostvaruju solidan profit.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502"/>
        </w:numPr>
        <w:contextualSpacing w:val="0"/>
        <w:jc w:val="left"/>
        <w:spacing w:before="0" w:after="0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  <w:t xml:space="preserve">Nekoliko malih firmi (&lt;30 zaposlenih) beleži izuzetno visoku dobit u odnosu na veličinu.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highlight w:val="none"/>
        </w:rPr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center"/>
        <w:spacing w:before="0" w:after="0"/>
        <w:suppressLineNumbers w:val="0"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98556" cy="3138392"/>
                <wp:effectExtent l="0" t="0" r="0" b="0"/>
                <wp:docPr id="2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79002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 flipH="0" flipV="0">
                          <a:off x="0" y="0"/>
                          <a:ext cx="4798555" cy="3138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377.8pt;height:247.1pt;mso-wrap-distance-left:0.0pt;mso-wrap-distance-top:0.0pt;mso-wrap-distance-right:0.0pt;mso-wrap-distance-bottom:0.0pt;" stroked="false">
                <v:path textboxrect="0,0,0,0"/>
                <v:imagedata r:id="rId3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987"/>
        <w:numPr>
          <w:ilvl w:val="0"/>
          <w:numId w:val="50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Male firme (ispod 20 radnika): mnoge imaju najvišu dobit po zaposlenom (preko 20.000–30.000 € po radniku).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503"/>
        </w:num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Srednje firme (50–150 zaposlenih): stabilne, sa dobiti po zaposlenom u rasponu 5.000–15.000 €.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503"/>
        </w:num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t xml:space="preserve">Velike firme (200+ zaposlenih): niži profiti po radniku (često 1.000–5.000 €), jer rade u radno-intenzivnim sektorima.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  <w:br w:type="page" w:clear="all"/>
      </w:r>
      <w:r>
        <w:rPr>
          <w:highlight w:val="none"/>
        </w:rPr>
      </w:r>
      <w:r/>
    </w:p>
    <w:p>
      <w:pPr>
        <w:pStyle w:val="1809"/>
        <w:jc w:val="both"/>
        <w:rPr>
          <w:sz w:val="28"/>
          <w:szCs w:val="28"/>
        </w:rPr>
        <w:suppressLineNumbers w:val="0"/>
      </w:pPr>
      <w:r/>
      <w:bookmarkStart w:id="28" w:name="_Toc28"/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3.2. Analiza neto dobiti 100 najvećih firmi u Čačku</w:t>
      </w:r>
      <w:r/>
      <w:bookmarkEnd w:id="28"/>
      <w:r/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Statistički pokazatelji za neto dobit (EUR):</w:t>
      </w:r>
      <w:r/>
    </w:p>
    <w:p>
      <w:pPr>
        <w:pStyle w:val="1987"/>
        <w:numPr>
          <w:ilvl w:val="0"/>
          <w:numId w:val="50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Ukupna neto dobit (100 firmi):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63.583.675 €</w:t>
      </w:r>
      <w:r/>
    </w:p>
    <w:p>
      <w:pPr>
        <w:pStyle w:val="1987"/>
        <w:numPr>
          <w:ilvl w:val="0"/>
          <w:numId w:val="50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Aritmetička sredina: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≈ 635.837 €</w:t>
      </w:r>
      <w:r/>
    </w:p>
    <w:p>
      <w:pPr>
        <w:pStyle w:val="1987"/>
        <w:numPr>
          <w:ilvl w:val="0"/>
          <w:numId w:val="50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Medijana: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≈ 266.983 €</w:t>
      </w:r>
      <w:r/>
    </w:p>
    <w:p>
      <w:pPr>
        <w:pStyle w:val="1987"/>
        <w:numPr>
          <w:ilvl w:val="0"/>
          <w:numId w:val="50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Modus: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nema jasnog ponavljanja, ali vrednosti ispod 300.000 € su najčešće.</w:t>
      </w:r>
      <w:r/>
    </w:p>
    <w:p>
      <w:pPr>
        <w:pStyle w:val="1987"/>
        <w:numPr>
          <w:ilvl w:val="0"/>
          <w:numId w:val="50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Kvartili:</w:t>
      </w:r>
      <w:r/>
    </w:p>
    <w:p>
      <w:pPr>
        <w:pStyle w:val="1987"/>
        <w:numPr>
          <w:ilvl w:val="0"/>
          <w:numId w:val="50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Q1 (25% firmi ispod): ≈ 125.000 €</w:t>
      </w:r>
      <w:r/>
    </w:p>
    <w:p>
      <w:pPr>
        <w:pStyle w:val="1987"/>
        <w:numPr>
          <w:ilvl w:val="0"/>
          <w:numId w:val="50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Q2 (50%, medijana): 266.983 €</w:t>
      </w:r>
      <w:r/>
    </w:p>
    <w:p>
      <w:pPr>
        <w:pStyle w:val="1987"/>
        <w:numPr>
          <w:ilvl w:val="0"/>
          <w:numId w:val="50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Q3 (75% firmi ispod): ≈ 950.000 €</w:t>
      </w:r>
      <w:r/>
    </w:p>
    <w:p>
      <w:pPr>
        <w:pStyle w:val="1987"/>
        <w:numPr>
          <w:ilvl w:val="0"/>
          <w:numId w:val="50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Minimum: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-2.195.976 € (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DOO Litopapir Čačak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– najveći gubitak)</w:t>
      </w:r>
      <w:r/>
    </w:p>
    <w:p>
      <w:pPr>
        <w:pStyle w:val="1987"/>
        <w:numPr>
          <w:ilvl w:val="0"/>
          <w:numId w:val="50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Maksimum: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15.652.340 € (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Pred. Auto Čačak DOO Konjevići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</w:t>
      </w:r>
      <w:r/>
    </w:p>
    <w:p>
      <w:pPr>
        <w:pStyle w:val="1987"/>
        <w:numPr>
          <w:ilvl w:val="0"/>
          <w:numId w:val="50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Top-5 firmi: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≈ 26,5 mil. € (41,7% ukupne dobiti)</w:t>
      </w:r>
      <w:r/>
    </w:p>
    <w:p>
      <w:pPr>
        <w:pStyle w:val="1987"/>
        <w:numPr>
          <w:ilvl w:val="0"/>
          <w:numId w:val="504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Top-10 firmi: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≈ 38,7 mil. € (60,9% ukupne dobiti)</w:t>
      </w:r>
      <w:r/>
    </w:p>
    <w:p>
      <w:p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Komentar</w:t>
      </w:r>
      <w:r/>
    </w:p>
    <w:p>
      <w:pPr>
        <w:pStyle w:val="1987"/>
        <w:numPr>
          <w:ilvl w:val="0"/>
          <w:numId w:val="505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Neto dobit u Čačku je znatno 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koncentrisana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: deset najvećih firmi po zaradi nose skoro dve trećine ukupne dobiti.</w:t>
      </w:r>
      <w:r/>
    </w:p>
    <w:p>
      <w:pPr>
        <w:pStyle w:val="1987"/>
        <w:numPr>
          <w:ilvl w:val="0"/>
          <w:numId w:val="505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Više firmi posluje sa gubitkom (npr.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Litopapir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JKP Komunalac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Eldisy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PWO SEE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</w:rPr>
        <w:t xml:space="preserve">JKP Vodovod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), što umanjuje zbirni rezultat.</w:t>
      </w:r>
      <w:r/>
    </w:p>
    <w:p>
      <w:pPr>
        <w:pStyle w:val="1987"/>
        <w:numPr>
          <w:ilvl w:val="0"/>
          <w:numId w:val="505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Prosek (636k €) je više nego dvostruko veći od medijane (267k €), što znači da tipična firma ima znatno manju dobit od proseka.</w:t>
      </w:r>
      <w:r/>
    </w:p>
    <w:p>
      <w:pPr>
        <w:pStyle w:val="1987"/>
        <w:numPr>
          <w:ilvl w:val="0"/>
          <w:numId w:val="505"/>
        </w:numPr>
        <w:contextualSpacing w:val="0"/>
        <w:jc w:val="both"/>
        <w:spacing w:before="0" w:after="0"/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Četvrtina firmi ostvaruje manje od 125.000 € godišnje, a samo četvrtina prelazi 950.000 €.</w:t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36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36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Povezanost neto dobiti i broja zaposlenih: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Neto dobit po zaposlenom (ukupno):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≈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5.280 € po zaposlenom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(63,6 mil. / 12.043).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Velike firme (200+ radnika):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Iako beleže najveću ukupnu dobit (npr.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Sloboda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Unipromet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Moka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Auto Čačak Promet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), dobit po radniku često se kreće između 1.500–8.000 €, što je prosečno ili ispod proseka.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Neke firme sa velikim brojem zaposlenih beleže i gubitke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Litopapir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JKP Komunalac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Eldisy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Vodovod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Srednje firme (50–200 zaposlenih):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Često su stabilnije i ostvaruju solidnu dobit po zaposlenom (10.000–20.000 €), posebno u prerađivačkom i trgovinskom sektoru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Vibbet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N.J.S. Group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Prohrom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Male firme (do 20 zaposlenih):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Imaju najvišu dobit po zaposlenom (30.000–80.000 € i više), ali njihov ukupan doprinos zbiru nije presudan.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Struktura: 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Najveći deo zaposlenih je u velikim industrijskim i komunalnim sistemima, ali oni ne donose proporcionalno najveću dobit.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Efikasnost po radniku je veća u manjim i srednjim firmama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dok giganti pre svega zapošljavaju i nose stabilnost privredi.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Prisutno je više gubitaša u sektoru sa velikim brojem radnika, što povlači zbirne pokazatelje naniže.</w:t>
      </w:r>
      <w:r>
        <w:rPr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46560" cy="3170882"/>
                <wp:effectExtent l="0" t="0" r="0" b="0"/>
                <wp:docPr id="3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49740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 flipH="0" flipV="0">
                          <a:off x="0" y="0"/>
                          <a:ext cx="4346559" cy="3170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342.2pt;height:249.7pt;mso-wrap-distance-left:0.0pt;mso-wrap-distance-top:0.0pt;mso-wrap-distance-right:0.0pt;mso-wrap-distance-bottom:0.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bCs w:val="0"/>
          <w:i w:val="0"/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i w:val="0"/>
          <w:iCs w:val="0"/>
          <w:color w:val="000000"/>
          <w:sz w:val="24"/>
          <w:szCs w:val="24"/>
        </w:rPr>
        <w:t xml:space="preserve">Boxplot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 pokazuje širok raspon sa izraženim „outlier“-ima: nekoliko firmi ima ekstremne gubitke (npr. 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Litopapir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JKP Komunalac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Eldisy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PWO SEE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), dok druge imaju višemilionsku dobit (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Auto Čačak Konjevići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Moka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Unipromet</w:t>
      </w:r>
      <w:r>
        <w:rPr>
          <w:rFonts w:ascii="Times New Roman" w:hAnsi="Times New Roman" w:eastAsia="Times New Roman" w:cs="Times New Roman"/>
          <w:i w:val="0"/>
          <w:iCs w:val="0"/>
          <w:color w:val="000000"/>
          <w:sz w:val="24"/>
          <w:szCs w:val="24"/>
        </w:rPr>
        <w:t xml:space="preserve">).</w:t>
      </w:r>
      <w:r>
        <w:rPr>
          <w:i w:val="0"/>
          <w:iCs w:val="0"/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62510" cy="3450007"/>
                <wp:effectExtent l="0" t="0" r="0" b="0"/>
                <wp:docPr id="3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75445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 flipH="0" flipV="0">
                          <a:off x="0" y="0"/>
                          <a:ext cx="4962510" cy="3450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390.7pt;height:271.7pt;mso-wrap-distance-left:0.0pt;mso-wrap-distance-top:0.0pt;mso-wrap-distance-right:0.0pt;mso-wrap-distance-bottom:0.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Histogram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otkriva da većina firmi beleži dobit ispod 1 miliona €, dok manji broj prelazi 5 miliona €. Distribucija je snažno asimetrična.</w:t>
      </w:r>
      <w:r>
        <w:rPr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51038" cy="2847388"/>
                <wp:effectExtent l="0" t="0" r="0" b="0"/>
                <wp:docPr id="3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59799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rcRect l="0" t="1600" r="0" b="0"/>
                        <a:stretch/>
                      </pic:blipFill>
                      <pic:spPr bwMode="auto">
                        <a:xfrm flipH="0" flipV="0">
                          <a:off x="0" y="0"/>
                          <a:ext cx="4351038" cy="2847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342.6pt;height:224.2pt;mso-wrap-distance-left:0.0pt;mso-wrap-distance-top:0.0pt;mso-wrap-distance-right:0.0pt;mso-wrap-distance-bottom:0.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7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Firme sa velikim brojem radnika (200+) nisu uvek najprofitabilnije — neke su gubitaši.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7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Srednje firme (50–200 zaposlenih) daju stabilne rezultate, a nekoliko njih beleži multimilionsku dobit.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7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Male firme (&lt;20 zaposlenih) obično imaju relativno male profite, ali pojedine pokazuju izuzetnu efikasnost.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83115" cy="2884330"/>
                <wp:effectExtent l="0" t="0" r="0" b="0"/>
                <wp:docPr id="3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07284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rcRect l="0" t="1473" r="0" b="0"/>
                        <a:stretch/>
                      </pic:blipFill>
                      <pic:spPr bwMode="auto">
                        <a:xfrm flipH="0" flipV="0">
                          <a:off x="0" y="0"/>
                          <a:ext cx="4483114" cy="28843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53.0pt;height:227.1pt;mso-wrap-distance-left:0.0pt;mso-wrap-distance-top:0.0pt;mso-wrap-distance-right:0.0pt;mso-wrap-distance-bottom:0.0pt;" stroked="false">
                <v:path textboxrect="0,0,0,0"/>
                <v:imagedata r:id="rId38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8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Male firme (do 20 zaposlenih):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često iskazuju najvišu dobit po radniku (30.000–80.000 €).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8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Srednje firme (50–200 zaposlenih):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tipično 10.000–20.000 € po radniku.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8"/>
        </w:numPr>
        <w:contextualSpacing w:val="0"/>
        <w:jc w:val="left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Velike firme (200+ zaposlenih):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dobit po radniku niža (1.000–8.000 €), a deo velikih čak negativna po radniku zbog gubitaka.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pStyle w:val="1809"/>
        <w:rPr>
          <w:sz w:val="28"/>
          <w:szCs w:val="28"/>
        </w:rPr>
        <w:suppressLineNumbers w:val="0"/>
      </w:pPr>
      <w:r/>
      <w:bookmarkStart w:id="29" w:name="_Toc29"/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3.3. Analiza neto dobiti 100 najvećih firmi u Kraljevu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:</w:t>
      </w:r>
      <w:r/>
      <w:bookmarkEnd w:id="29"/>
      <w:r/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Statistički pokazatelji za neto dobit (EUR):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5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Ukupna neto dobit (100 firmi):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32.844.430 €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Aritmetička sredina: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≈ 328.444 €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Medijana: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≈ 109.227 €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Modus: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nema izraženog ponavljanja, većina firmi je između 50.000–300.000 €.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Kvartili: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Q1 (25% firmi ispod): ≈ 61.000 €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Q2 (50%, medijana): 109.227 €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Q3 (75% firmi ispod): ≈ 388.000 €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Minimum: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-4.459.799 €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Eurotay D.O.O.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najveći gubitak)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Maksimum: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10.851.165 €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Elektromontaža D.O.O.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Top-5 firmi: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≈ 23,6 mil. € (72% ukupne dobiti)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0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Top-10 firmi: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≈ 27,5 mil. € (84% ukupne dobiti)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Komentar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Dobit u Kraljevu je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visoko koncentrisana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– top-5 firmi nose više od dve trećine ukupnog rezultata.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Nekoliko giganata sa velikim brojem zaposlenih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Eurotay, Ecorglobal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beleži ogromne gubitke, što umanjuje ukupnu dobit.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Prosek (328k €) je tri puta veći od medijane (109k €), što ukazuje da tipična firma ima znatno manju dobit od prosečne.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Četvrtina firmi ostvaruje manje od 61.000 €, dok samo četvrtina prelazi 388.000 €.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Povezanost neto dobiti i broja zaposlenih: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Neto dobit po zaposlenom (ukupno):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≈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4.550 € po zaposlenom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(32,84 mil. / 7.220).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Velike firme (200+ zaposlenih):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Najveći apsolutni doprinos (npr.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Elektromontaža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GIR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Virdžinija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), ali dobit po radniku je često relativno niska (2.000–7.000 €).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Eurotay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(859 radnika) beleži gubitak od -4,45 miliona €, što značajno obara proseke.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Srednje firme (50–200 zaposlenih):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Većina posluje stabilno sa profitom po radniku u rasponu 10.000–20.000 €.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Pekom inženjering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Tehnograd-inženjering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RVM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slične firme imaju jaku profitabilnost.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1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Male firme (ispod 20 zaposlenih):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Neke ostvaruju vrlo visoku dobit po zaposlenom (čak 30.000–70.000 € po radniku), iako im je apsolutni obim mali.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Najefikasnije po radniku su upravo ove manje firme.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Struktura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Privreda Kraljeva je polarizovana: dok par velikih sistema vuče ukupnu dobit, znatan broj velikih poslodavaca beleži i gubitke.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Najveća efikasnost po radniku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dolazi iz malih i srednjih firmi.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Top-10 kompanija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gotovo potpuno oblikuje rezultat – ostale firme, iako brojne, imaju mali zbirni uticaj.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8563" cy="3374707"/>
                <wp:effectExtent l="0" t="0" r="0" b="0"/>
                <wp:docPr id="3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64173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 flipH="0" flipV="0">
                          <a:off x="0" y="0"/>
                          <a:ext cx="4658563" cy="33747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366.8pt;height:265.7pt;mso-wrap-distance-left:0.0pt;mso-wrap-distance-top:0.0pt;mso-wrap-distance-right:0.0pt;mso-wrap-distance-bottom:0.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Boxplot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pokazuje ekstremne vrednosti – nekoliko firmi ostvaruje milionske profite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Elektromontaža, Virdžinija, CIP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), dok drugi giganti beleže milionske gubitke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Eurotay, Ecorglobal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).</w:t>
      </w:r>
      <w:r>
        <w:rPr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41340" cy="3166305"/>
                <wp:effectExtent l="0" t="0" r="0" b="0"/>
                <wp:docPr id="3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68050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 flipH="0" flipV="0">
                          <a:off x="0" y="0"/>
                          <a:ext cx="4641339" cy="31663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365.5pt;height:249.3pt;mso-wrap-distance-left:0.0pt;mso-wrap-distance-top:0.0pt;mso-wrap-distance-right:0.0pt;mso-wrap-distance-bottom:0.0pt;" stroked="false">
                <v:path textboxrect="0,0,0,0"/>
                <v:imagedata r:id="rId40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Histogram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otkriva da najveći broj firmi ostvaruje relativno male profite (do 200–300 hiljada €), dok mali broj dominira sa velikim dobicima/gubicima.</w:t>
      </w:r>
      <w:r>
        <w:rPr>
          <w:sz w:val="24"/>
          <w:szCs w:val="24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36800" cy="3299247"/>
                <wp:effectExtent l="0" t="0" r="0" b="0"/>
                <wp:docPr id="3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10050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 flipH="0" flipV="0">
                          <a:off x="0" y="0"/>
                          <a:ext cx="4936799" cy="32992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388.7pt;height:259.8pt;mso-wrap-distance-left:0.0pt;mso-wrap-distance-top:0.0pt;mso-wrap-distance-right:0.0pt;mso-wrap-distance-bottom:0.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Veza između broja zaposlenih i dobiti je vrlo slaba.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Velike firme (500+ radnika) imaju i ogromne profite i velike gubitke, što pokazuje da veličina ne znači automatski i profitabilnost.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2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Najstabilniji rezultati su u firmama sa 50–200 radnika.</w:t>
      </w:r>
      <w:r>
        <w:rPr>
          <w:sz w:val="24"/>
          <w:szCs w:val="24"/>
        </w:rPr>
      </w:r>
      <w:r/>
    </w:p>
    <w:p>
      <w:pPr>
        <w:contextualSpacing w:val="0"/>
        <w:ind w:left="720" w:firstLine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center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68850" cy="3076677"/>
                <wp:effectExtent l="0" t="0" r="0" b="0"/>
                <wp:docPr id="3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15480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 flipH="0" flipV="0">
                          <a:off x="0" y="0"/>
                          <a:ext cx="4768849" cy="30766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375.5pt;height:242.3pt;mso-wrap-distance-left:0.0pt;mso-wrap-distance-top:0.0pt;mso-wrap-distance-right:0.0pt;mso-wrap-distance-bottom:0.0pt;" stroked="false">
                <v:path textboxrect="0,0,0,0"/>
                <v:imagedata r:id="rId42" o:title=""/>
              </v:shape>
            </w:pict>
          </mc:Fallback>
        </mc:AlternateConten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Male firme (do 20 ljudi):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u proseku su najefikasnije po radniku, neki prelaze i 30–70 hiljada € po zaposlenom.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Srednje firme (50–200 radnika):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stabilne, sa dobiti po radniku u rasponu 8.000–20.000 €.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3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Velike firme (200+ radnika):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često beleže nisku dobit po radniku (1.000–6.000 €), a pojedine čak negativnu vrednost.</w:t>
      </w:r>
      <w:r>
        <w:rPr>
          <w:sz w:val="24"/>
          <w:szCs w:val="24"/>
        </w:rPr>
      </w:r>
      <w:r/>
    </w:p>
    <w:p>
      <w:pPr>
        <w:pStyle w:val="1809"/>
        <w:rPr>
          <w:rFonts w:ascii="Times New Roman" w:hAnsi="Times New Roman" w:eastAsia="Times New Roman" w:cs="Times New Roman"/>
          <w:color w:val="000000"/>
          <w:sz w:val="28"/>
          <w:szCs w:val="28"/>
        </w:rPr>
        <w:suppressLineNumbers w:val="0"/>
      </w:pPr>
      <w:r/>
      <w:bookmarkStart w:id="30" w:name="_Toc30"/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3.4. Uporedna analiza neto dobiti i broja zaposlenih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za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Novi Pazar, Kraljevo i Čačak</w:t>
      </w:r>
      <w:r/>
      <w:bookmarkEnd w:id="30"/>
      <w:r/>
      <w:r/>
    </w:p>
    <w:p>
      <w:pPr>
        <w:contextualSpacing w:val="0"/>
        <w:jc w:val="left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</w:rPr>
        <w:t xml:space="preserve">Unastavku je tabela koja obuhvata ključne pokazatelje: ukupna neto dobit, proseci, kvartile, ekstremne vrednosti i koncentraciju dobiti u top-5 i top-10 firmi: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tbl>
      <w:tblPr>
        <w:tblStyle w:val="1839"/>
        <w:tblW w:w="0" w:type="auto"/>
        <w:tblInd w:w="0" w:type="dxa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  <w:gridCol w:w="825"/>
      </w:tblGrid>
      <w:tr>
        <w:trPr>
          <w:trHeight w:val="31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Grad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Ukupna neto dobit (EUR)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Ukupan broj zaposlenih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Dobit po zaposlenom (EUR)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Aritmetička sredina dobiti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Medijana (procena)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Q1 (25%)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Q3 (75%)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Min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Max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Top-5 koncentracija (%)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000000" w:sz="6" w:space="0"/>
            </w:tcBorders>
            <w:tcMar>
              <w:left w:w="0" w:type="dxa"/>
              <w:top w:w="30" w:type="dxa"/>
              <w:right w:w="0" w:type="dxa"/>
              <w:bottom w:w="30" w:type="dxa"/>
            </w:tcMar>
            <w:tcW w:w="82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Top-10 koncentracija (%)</w:t>
            </w:r>
            <w:r>
              <w:rPr>
                <w:sz w:val="16"/>
                <w:szCs w:val="16"/>
              </w:rPr>
            </w:r>
            <w:r/>
          </w:p>
        </w:tc>
      </w:tr>
      <w:tr>
        <w:trPr>
          <w:trHeight w:val="31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Novi Pazar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16456168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3437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4787.945301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164561.68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60539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27000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165000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-308764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3621692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39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2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58</w:t>
            </w:r>
            <w:r>
              <w:rPr>
                <w:sz w:val="16"/>
                <w:szCs w:val="16"/>
              </w:rPr>
            </w:r>
            <w:r/>
          </w:p>
        </w:tc>
      </w:tr>
      <w:tr>
        <w:trPr>
          <w:trHeight w:val="31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Kraljevo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32844430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7220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4549.090028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328444.3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109227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61000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388000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-4459799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10851165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72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2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84</w:t>
            </w:r>
            <w:r>
              <w:rPr>
                <w:sz w:val="16"/>
                <w:szCs w:val="16"/>
              </w:rPr>
            </w:r>
            <w:r/>
          </w:p>
        </w:tc>
      </w:tr>
      <w:tr>
        <w:trPr>
          <w:trHeight w:val="315"/>
        </w:trPr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Čačak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63583675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12043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5279.720585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635836.75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266983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125000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950000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-2195976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15652340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77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41.7</w:t>
            </w:r>
            <w:r>
              <w:rPr>
                <w:sz w:val="16"/>
                <w:szCs w:val="16"/>
              </w:rPr>
            </w:r>
            <w:r/>
          </w:p>
        </w:tc>
        <w:tc>
          <w:tcPr>
            <w:tcBorders>
              <w:top w:val="single" w:color="CCCCCC" w:sz="6" w:space="0"/>
              <w:left w:val="single" w:color="CCCCCC" w:sz="6" w:space="0"/>
              <w:bottom w:val="single" w:color="CCCCCC" w:sz="6" w:space="0"/>
              <w:right w:val="single" w:color="CCCCCC" w:sz="6" w:space="0"/>
            </w:tcBorders>
            <w:tcMar>
              <w:left w:w="45" w:type="dxa"/>
              <w:top w:w="30" w:type="dxa"/>
              <w:right w:w="45" w:type="dxa"/>
              <w:bottom w:w="30" w:type="dxa"/>
            </w:tcMar>
            <w:tcW w:w="825" w:type="dxa"/>
            <w:vAlign w:val="bottom"/>
            <w:textDirection w:val="lrTb"/>
            <w:noWrap w:val="false"/>
          </w:tcPr>
          <w:p>
            <w:pPr>
              <w:contextualSpacing w:val="0"/>
              <w:jc w:val="left"/>
              <w:spacing w:before="0" w:after="0"/>
              <w:rPr>
                <w:sz w:val="16"/>
                <w:szCs w:val="16"/>
              </w:rPr>
              <w:suppressLineNumbers w:val="0"/>
            </w:pPr>
            <w:r>
              <w:rPr>
                <w:rFonts w:ascii="Arial" w:hAnsi="Arial" w:eastAsia="Arial" w:cs="Arial"/>
                <w:color w:val="000000"/>
                <w:sz w:val="16"/>
                <w:szCs w:val="16"/>
              </w:rPr>
              <w:t xml:space="preserve">60.9</w:t>
            </w:r>
            <w:r>
              <w:rPr>
                <w:sz w:val="16"/>
                <w:szCs w:val="16"/>
              </w:rPr>
            </w:r>
            <w:r/>
          </w:p>
        </w:tc>
      </w:tr>
    </w:tbl>
    <w:p>
      <w:pPr>
        <w:contextualSpacing w:val="0"/>
        <w:jc w:val="left"/>
        <w:spacing w:before="0" w:after="0"/>
        <w:suppressLineNumbers w:val="0"/>
      </w:pPr>
      <w:r/>
      <w:r/>
    </w:p>
    <w:p>
      <w:pPr>
        <w:contextualSpacing w:val="0"/>
        <w:jc w:val="center"/>
        <w:spacing w:before="0" w:after="0"/>
        <w:suppressLineNumbers w:val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787250" cy="3719914"/>
                <wp:effectExtent l="0" t="0" r="0" b="0"/>
                <wp:docPr id="3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16996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0" flipH="0" flipV="0">
                          <a:off x="0" y="0"/>
                          <a:ext cx="4787249" cy="37199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376.9pt;height:292.9pt;mso-wrap-distance-left:0.0pt;mso-wrap-distance-top:0.0pt;mso-wrap-distance-right:0.0pt;mso-wrap-distance-bottom:0.0pt;rotation:0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Ključni nalazi: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Novi Pazar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Ukupna neto dobit: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16,5 mil.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Dobit po zaposlenom: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4.788 €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Većina firmi posluje sa malom dobiti, dok nekoliko njih ostvaruje milionske profite.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4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Koncentracija: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Top-10 firmi = 58% ukupne dobiti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Kraljevo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Ukupna neto dobit: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32,8 mil.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Dobit po zaposlenom: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4.549 €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Raspodela izrazito nejednaka, sa ekstremnim gubicima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Eurotay -4,5 mil. €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i ogromnim profitima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Elektromontaža 10,8 mil. €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5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Koncentracija: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Top-10 firmi = 84% ukupne dobiti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→ najveća zavisnost od malog broja firmi.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Čačak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Ukupna neto dobit: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63,6 mil. €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Dobit po zaposlenom: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5.280 €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(najviša od tri grada).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Nekoliko giganata (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 xml:space="preserve">Auto Čačak Konjevići, Moka, Unipromet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) dominira dobitkom.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6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Koncentracija: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Top-10 firmi = 61% ukupne dobiti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umerena centralizacija.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Uporedni uvidi: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Čačak je najprofitabilniji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skoro dvostruko veća ukupna dobit nego Kraljevo i četiri puta više od Novog Pazara.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Kraljevo najrizičnije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visoka zavisnost od 5–10 firmi, i prisutni ekstremni gubici.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7"/>
        </w:numPr>
        <w:contextualSpacing w:val="0"/>
        <w:jc w:val="both"/>
        <w:spacing w:before="0" w:after="0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Novi Pazar najdisperzovaniji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relativno ujednačena raspodela, ali uz značajno manji ukupni obim dobiti.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pStyle w:val="1987"/>
        <w:numPr>
          <w:ilvl w:val="0"/>
          <w:numId w:val="517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dobiti po zaposlenom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sva tri grada su bliska (4,5–5,3 hiljada €), s tim da Čačak prednjači.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Preporuke po gradovima: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Novi Pazar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Fokusirati se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jačanje srednjih firmi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jer upravo one drže stabilnost i pokazuju efikasnost.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Podržati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diverzifikaciju sektora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kako bi se smanjila zavisnost od nekoliko vodećih firmi.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8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Investirati 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digitalizaciju i profesionalizaciju malih firmi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radi povećanja skale i profita.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  <w:highlight w:val="none"/>
        </w:rPr>
      </w:r>
      <w:r/>
    </w:p>
    <w:p>
      <w:pPr>
        <w:contextualSpacing w:val="0"/>
        <w:jc w:val="both"/>
        <w:spacing w:before="0" w:after="0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Kraljevo: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Potrebne su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mere za stabilizaciju velikih firmi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sa gubicima, jer one ozbiljno utiču na ukupnu sliku.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Podsticati razvoj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srednjih preduzeća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koja imaju stabilan profit po zaposlenom.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19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Povećati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lokalne mehanizme za podršku inovacijama i smanjenje zavisnosti od 5–10 dominantnih firmi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.</w:t>
      </w:r>
      <w:r>
        <w:rPr>
          <w:sz w:val="24"/>
          <w:szCs w:val="24"/>
        </w:rPr>
      </w:r>
      <w:r/>
    </w:p>
    <w:p>
      <w:p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Čačak: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2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Nastaviti da se oslanja na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industrijske gigante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ali pratiti i gubitaše radi saniranja rizika.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2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Dodatno podržati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male i srednje firme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jer one podižu efikasnost po radniku.</w:t>
      </w:r>
      <w:r>
        <w:rPr>
          <w:sz w:val="24"/>
          <w:szCs w:val="24"/>
        </w:rPr>
      </w:r>
      <w:r/>
    </w:p>
    <w:p>
      <w:pPr>
        <w:pStyle w:val="1987"/>
        <w:numPr>
          <w:ilvl w:val="0"/>
          <w:numId w:val="520"/>
        </w:numPr>
        <w:contextualSpacing w:val="0"/>
        <w:jc w:val="both"/>
        <w:spacing w:before="0" w:after="0"/>
        <w:rPr>
          <w:sz w:val="24"/>
          <w:szCs w:val="24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Razvijati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strategiju za održavanje rasta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i jačanje diversifikacije sektora.</w:t>
      </w:r>
      <w:r>
        <w:rPr>
          <w:sz w:val="24"/>
          <w:szCs w:val="24"/>
        </w:rPr>
      </w:r>
      <w:r/>
    </w:p>
    <w:p>
      <w:pPr>
        <w:contextualSpacing w:val="0"/>
        <w:jc w:val="left"/>
        <w:spacing w:before="0" w:after="0"/>
        <w:suppressLineNumbers w:val="0"/>
      </w:pPr>
      <w:r>
        <w:rPr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/>
    </w:p>
    <w:p>
      <w:pPr>
        <w:contextualSpacing w:val="0"/>
        <w:jc w:val="left"/>
        <w:spacing w:before="0" w:after="0"/>
        <w:suppressLineNumbers w:val="0"/>
      </w:pPr>
      <w:r/>
      <w:r/>
    </w:p>
    <w:p>
      <w:pPr>
        <w:shd w:val="nil" w:color="auto"/>
        <w:suppressLineNumbers w:val="0"/>
      </w:pPr>
      <w:r>
        <w:br w:type="page" w:clear="all"/>
      </w:r>
      <w:r/>
    </w:p>
    <w:p>
      <w:pPr>
        <w:pStyle w:val="1807"/>
        <w:rPr>
          <w:b/>
          <w:bCs/>
          <w:sz w:val="32"/>
          <w:szCs w:val="32"/>
          <w:highlight w:val="none"/>
        </w:rPr>
        <w:suppressLineNumbers w:val="0"/>
      </w:pPr>
      <w:r/>
      <w:bookmarkStart w:id="31" w:name="_Toc31"/>
      <w:r>
        <w:rPr>
          <w:b/>
          <w:bCs/>
          <w:sz w:val="32"/>
          <w:szCs w:val="32"/>
        </w:rPr>
        <w:t xml:space="preserve">Prilog 1: Lista 100 najvećih pravnih lica u Novom Pazaru, poredana po broju zaposlenih</w:t>
      </w:r>
      <w:r/>
      <w:bookmarkEnd w:id="31"/>
      <w:r/>
      <w:r/>
    </w:p>
    <w:p>
      <w:pPr>
        <w:contextualSpacing w:val="0"/>
        <w:jc w:val="left"/>
        <w:spacing w:before="0" w:after="0"/>
        <w:rPr>
          <w:highlight w:val="none"/>
        </w:rPr>
        <w:suppressLineNumbers w:val="0"/>
      </w:pPr>
      <w:r>
        <w:rPr>
          <w:highlight w:val="none"/>
        </w:rPr>
      </w:r>
      <w:r>
        <w:rPr>
          <w:highlight w:val="none"/>
        </w:rPr>
      </w:r>
      <w:r/>
    </w:p>
    <w:tbl>
      <w:tblPr>
        <w:tblStyle w:val="1839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1081"/>
        <w:gridCol w:w="993"/>
        <w:gridCol w:w="1765"/>
        <w:gridCol w:w="969"/>
        <w:gridCol w:w="795"/>
        <w:gridCol w:w="935"/>
        <w:gridCol w:w="1115"/>
        <w:gridCol w:w="709"/>
      </w:tblGrid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R. br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Naziv delatnosti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Šifra delatnosti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Naziv delatnosti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Bonitetna ocena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Veličina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Promet (EUR)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Neto dobit (EUR)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Broj zaposlenih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4211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puteva i autoputeva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34240759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3621692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303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shd w:val="clear" w:color="9cc4e5" w:fill="9cc4e5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JKP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3811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Skupljanje otpada koji nije opasan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5846708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530582</w:t>
            </w:r>
            <w:r/>
          </w:p>
        </w:tc>
        <w:tc>
          <w:tcPr>
            <w:shd w:val="clear" w:color="9cc4e5" w:fill="9cc4e5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296</w:t>
            </w:r>
            <w:r/>
          </w:p>
        </w:tc>
      </w:tr>
      <w:tr>
        <w:trPr>
          <w:trHeight w:val="142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shd w:val="clear" w:color="9cc4e5" w:fill="9cc4e5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JKP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3600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Skupljanje, prečišćavanje i distribucija vode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4417839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21655</w:t>
            </w:r>
            <w:r/>
          </w:p>
        </w:tc>
        <w:tc>
          <w:tcPr>
            <w:shd w:val="clear" w:color="9cc4e5" w:fill="9cc4e5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213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8986898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267555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167</w:t>
            </w:r>
            <w:r/>
          </w:p>
        </w:tc>
      </w:tr>
      <w:tr>
        <w:trPr>
          <w:trHeight w:val="142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Proizvodnja nameštaja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3109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Proizvodnja ostalog nameštaja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7567702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574473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160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Proizvodnja odeće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1413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Proizvodnja ostale odeće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6652768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516959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137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Ostalo ustupanje ljudskih resursa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7830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Ostalo ustupanje ljudskih resursa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2450534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31260</w:t>
            </w:r>
            <w:r/>
          </w:p>
        </w:tc>
        <w:tc>
          <w:tcPr>
            <w:shd w:val="clear" w:color="ffff00" w:fill="ffff00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135</w:t>
            </w:r>
            <w:r/>
          </w:p>
        </w:tc>
      </w:tr>
      <w:tr>
        <w:trPr>
          <w:trHeight w:val="142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8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9719326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3298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109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9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Proizvodnja nameštaja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3109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Proizvodnja ostalog nameštaja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4674600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261308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88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10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Proizvodnja nameštaja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3109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Proizvodnja ostalog nameštaja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3079624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509123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87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11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4299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ostalih nepomenutih 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2293263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8887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85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12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8758380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935171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82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13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Proizvodnja nameštaja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3101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Proizvodnja nameštaja za poslovne i prodajne prostore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4391500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504158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76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14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6937714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27876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64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15</w:t>
            </w:r>
            <w:r/>
          </w:p>
        </w:tc>
        <w:tc>
          <w:tcPr>
            <w:shd w:val="clear" w:color="d9e2f2" w:fill="d9e2f2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Gradski i prigradski kopneni prevoz putnika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Gradski i prigradski kopneni prevoz putnika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5286258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304149</w:t>
            </w:r>
            <w:r/>
          </w:p>
        </w:tc>
        <w:tc>
          <w:tcPr>
            <w:shd w:val="clear" w:color="d9e2f2" w:fill="d9e2f2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53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16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Proizvodnja hrane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1061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Proizvodnja mlinskih proizvoda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2563646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12348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49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17</w:t>
            </w:r>
            <w:r/>
          </w:p>
        </w:tc>
        <w:tc>
          <w:tcPr>
            <w:shd w:val="clear" w:color="fef2cb" w:fill="fef2cb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Rezanje i obrada drveta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1610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Rezanje i obrada drveta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5608131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81357</w:t>
            </w:r>
            <w:r/>
          </w:p>
        </w:tc>
        <w:tc>
          <w:tcPr>
            <w:shd w:val="clear" w:color="fef2cb" w:fill="fef2cb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47</w:t>
            </w:r>
            <w:r/>
          </w:p>
        </w:tc>
      </w:tr>
      <w:tr>
        <w:trPr>
          <w:trHeight w:val="142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18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4752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metalnom robom, bojama i staklom u specijalizovanim prodavnicama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5372478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358150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45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19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veliko tekstilom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6670858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844046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45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20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17745688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87544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44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21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Proizvodnja nameštaja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3101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Proizvodnja nameštaja za poslovne i prodajne prostore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1825639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70751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42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22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7929879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165474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40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23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motornim gorivima u specijalizovanim prodavnicama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11934745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296543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39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24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3583372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46865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38</w:t>
            </w:r>
            <w:r/>
          </w:p>
        </w:tc>
      </w:tr>
      <w:tr>
        <w:trPr>
          <w:trHeight w:val="228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25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4759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nameštajem, opremom za osvetljenje i ostalim predmetima za domaćinstvo u specijalizovanim prodavnicama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3306459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309405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38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26</w:t>
            </w:r>
            <w:r/>
          </w:p>
        </w:tc>
        <w:tc>
          <w:tcPr>
            <w:shd w:val="clear" w:color="fef2cb" w:fill="fef2cb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Rezanje i obrada drveta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1610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Rezanje i obrada drveta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1878470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107635</w:t>
            </w:r>
            <w:r/>
          </w:p>
        </w:tc>
        <w:tc>
          <w:tcPr>
            <w:shd w:val="clear" w:color="fef2cb" w:fill="fef2cb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37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27</w:t>
            </w:r>
            <w:r/>
          </w:p>
        </w:tc>
        <w:tc>
          <w:tcPr>
            <w:shd w:val="clear" w:color="e7e6e6" w:fill="e7e6e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Tehničko ispitivanje i analize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7120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Tehničko ispitivanje i analize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4033836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334829</w:t>
            </w:r>
            <w:r/>
          </w:p>
        </w:tc>
        <w:tc>
          <w:tcPr>
            <w:shd w:val="clear" w:color="e7e6e6" w:fill="e7e6e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35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28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4779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polovnom robom u prodavnicama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1618195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62316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34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29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Nespecijalizovana trgovina na veliko hranom, pićima i duvanom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16213772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158962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34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30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4798705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9802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34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31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5947712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76109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33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32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veliko drvetom, građevinskim materijalom i sanitarnom opremom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23659636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174131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32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33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3293503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60744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29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34</w:t>
            </w:r>
            <w:r/>
          </w:p>
        </w:tc>
        <w:tc>
          <w:tcPr>
            <w:shd w:val="clear" w:color="eaedf1" w:fill="eaedf1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Proizvodnja opreme za osvetljenje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2740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Proizvodnja opreme za osvetljenje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7107795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904534</w:t>
            </w:r>
            <w:r/>
          </w:p>
        </w:tc>
        <w:tc>
          <w:tcPr>
            <w:shd w:val="clear" w:color="eaedf1" w:fill="eaedf1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29</w:t>
            </w:r>
            <w:r/>
          </w:p>
        </w:tc>
      </w:tr>
      <w:tr>
        <w:trPr>
          <w:trHeight w:val="171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35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farmaceutskim proizvodima u specijalizovanim prodavnicama – apotekama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2857926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37986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27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36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5322758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60282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27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37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motornim gorivima u specijalizovanim prodavnicama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5711836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197949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26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38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3504741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27158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26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39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4643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veliko električnim aparatima za domaćinstvo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4361709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96662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40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4330012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-15451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41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4005814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107909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42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2403582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40627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43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2056968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-86365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21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44</w:t>
            </w:r>
            <w:r/>
          </w:p>
        </w:tc>
        <w:tc>
          <w:tcPr>
            <w:shd w:val="clear" w:color="eaedf1" w:fill="eaedf1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Održavanje i trg. automobilim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automobilima i lakim motornim vozilima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15201602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346878</w:t>
            </w:r>
            <w:r/>
          </w:p>
        </w:tc>
        <w:tc>
          <w:tcPr>
            <w:shd w:val="clear" w:color="eaedf1" w:fill="eaedf1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45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1943957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50489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20</w:t>
            </w:r>
            <w:r/>
          </w:p>
        </w:tc>
      </w:tr>
      <w:tr>
        <w:trPr>
          <w:trHeight w:val="171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46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farmaceutskim proizvodima u specijalizovanim prodavnicama – apotekama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1654302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36516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47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1729283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100457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17</w:t>
            </w:r>
            <w:r/>
          </w:p>
        </w:tc>
      </w:tr>
      <w:tr>
        <w:trPr>
          <w:trHeight w:val="142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48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4674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veliko metalnom robom, instalacionim materijalima, opremom i priborom za grejanje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2176415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115566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49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1645756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75870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16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50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veliko drvetom, građevinskim materijalom i sanitarnom opremom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8158935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82895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16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51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veliko drvetom, građevinskim materijalom i sanitarnom opremom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6620686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138717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16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52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motornim gorivima u specijalizovanim prodavnicama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4107058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12032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53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3074292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88826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54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Proizvodnja hrane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1071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Proizvodnja hleba, svežeg peciva i kolača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1658293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166465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15</w:t>
            </w:r>
            <w:r/>
          </w:p>
        </w:tc>
      </w:tr>
      <w:tr>
        <w:trPr>
          <w:trHeight w:val="142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55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u nespecijalizovanim prodavnicama, pretežno hranom, pićima i duvanom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E3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2310116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28261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14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56</w:t>
            </w:r>
            <w:r/>
          </w:p>
        </w:tc>
        <w:tc>
          <w:tcPr>
            <w:shd w:val="clear" w:color="eaedf1" w:fill="eaedf1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Održavanje i trg. automobilim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automobilima i lakim motornim vozilima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3156820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88364</w:t>
            </w:r>
            <w:r/>
          </w:p>
        </w:tc>
        <w:tc>
          <w:tcPr>
            <w:shd w:val="clear" w:color="eaedf1" w:fill="eaedf1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14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57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Proizvodnja odeće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1413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Proizvodnja ostale odeće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2506920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18142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12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58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4636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veliko šećerom, čokoladom i slatkišima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1846610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52548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11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59</w:t>
            </w:r>
            <w:r/>
          </w:p>
        </w:tc>
        <w:tc>
          <w:tcPr>
            <w:shd w:val="clear" w:color="eaedf1" w:fill="eaedf1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Održavanje i trg. automobilim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4520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Održavanje i popravka motornih vozila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3564187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48113</w:t>
            </w:r>
            <w:r/>
          </w:p>
        </w:tc>
        <w:tc>
          <w:tcPr>
            <w:shd w:val="clear" w:color="eaedf1" w:fill="eaedf1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60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1645055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10648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10</w:t>
            </w:r>
            <w:r/>
          </w:p>
        </w:tc>
      </w:tr>
      <w:tr>
        <w:trPr>
          <w:trHeight w:val="142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61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4752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metalnom robom, bojama i staklom u specijalizovanim prodavnicama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2409718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35226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10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62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4719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Ostala trgovina na malo u nespecijalizovanim prodavnicama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7219260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63470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10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63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veliko tekstilom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2344624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24227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10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64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4646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veliko farmaceutskim proizvodima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2005770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33354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9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65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motornim gorivima u specijalizovanim prodavnicama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3363229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58240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8</w:t>
            </w:r>
            <w:r/>
          </w:p>
        </w:tc>
      </w:tr>
      <w:tr>
        <w:trPr>
          <w:trHeight w:val="142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66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u nespecijalizovanim prodavnicama, pretežno hranom, pićima i duvanom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2103501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43609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8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67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3992218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111413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8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68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Proizvodnja odeće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1392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Proizvodnja gotovih tekstilnih proizvoda, osim odeće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1706714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20450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69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1641961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25475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7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70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2942454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33944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7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71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veliko tekstilom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2228305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118557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7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72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motornim gorivima u specijalizovanim prodavnicama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A1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2185935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87664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6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73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2594131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58026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6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74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veliko žitom, sirovim duvanom, semenjem i hranom za životinje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3354222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67170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6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75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4321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Postavljanje električnih instalacija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4056551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1743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6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76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Proizvodnja odeće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1413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Proizvodnja ostale odeće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1643645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14835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77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Drumski prevoz tereta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1626314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130786</w:t>
            </w:r>
            <w:r/>
          </w:p>
        </w:tc>
        <w:tc>
          <w:tcPr>
            <w:shd w:val="clear" w:color="ececec" w:fill="ececec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5</w:t>
            </w:r>
            <w:r/>
          </w:p>
        </w:tc>
      </w:tr>
      <w:tr>
        <w:trPr>
          <w:trHeight w:val="142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78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u nespecijalizovanim prodavnicama, pretežno hranom, pićima i duvanom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2049414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65940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79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1879666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102345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5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80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veliko drvetom, građevinskim materijalom i sanitarnom opremom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1703483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36046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5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81</w:t>
            </w:r>
            <w:r/>
          </w:p>
        </w:tc>
        <w:tc>
          <w:tcPr>
            <w:shd w:val="clear" w:color="eaedf1" w:fill="eaedf1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Poštanske aktivnosti komercijalnog servisa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5320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Poštanske aktivnosti komercijalnog servisa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4279660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48062</w:t>
            </w:r>
            <w:r/>
          </w:p>
        </w:tc>
        <w:tc>
          <w:tcPr>
            <w:shd w:val="clear" w:color="eaedf1" w:fill="eaedf1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4</w:t>
            </w:r>
            <w:r/>
          </w:p>
        </w:tc>
      </w:tr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82</w:t>
            </w:r>
            <w:r/>
          </w:p>
        </w:tc>
        <w:tc>
          <w:tcPr>
            <w:shd w:val="clear" w:color="eaedf1" w:fill="eaedf1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Održavanje i trg. automobilim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automobilima i lakim motornim vozilima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2893110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16134</w:t>
            </w:r>
            <w:r/>
          </w:p>
        </w:tc>
        <w:tc>
          <w:tcPr>
            <w:shd w:val="clear" w:color="eaedf1" w:fill="eaedf1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4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83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3365793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265470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4</w:t>
            </w:r>
            <w:r/>
          </w:p>
        </w:tc>
      </w:tr>
      <w:tr>
        <w:trPr>
          <w:trHeight w:val="142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84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u nespecijalizovanim prodavnicama, pretežno hranom, pićima i duvanom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1941778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101252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3</w:t>
            </w:r>
            <w:r/>
          </w:p>
        </w:tc>
      </w:tr>
      <w:tr>
        <w:trPr>
          <w:trHeight w:val="142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85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malo u nespecijalizovanim prodavnicama, pretežno hranom, pićima i duvanom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1645064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15579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3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86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4719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Ostala trgovina na malo u nespecijalizovanim prodavnicama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2271009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128983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87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1824331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60539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88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Trgovina na veliko tekstilom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2122464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38764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89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E2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2757212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53317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90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E2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2343325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-3307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2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91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Nespecijalizovana trgovina na 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E3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1702646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-308764</w:t>
            </w:r>
            <w:r/>
          </w:p>
        </w:tc>
        <w:tc>
          <w:tcPr>
            <w:shd w:val="clear" w:color="e2efd8" w:fill="e2efd8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92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4211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puteva i autoputeva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4401396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6144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93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2142547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270760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94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1843141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54172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95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1829920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250830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96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D3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1820563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717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97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E2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1796813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8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trHeight w:val="114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98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Trgovina na 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4719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Ostala trgovina na malo u nespecijalizovanim prodavnicama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1661301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16690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0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99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1703877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79630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0</w:t>
            </w:r>
            <w:r/>
          </w:p>
        </w:tc>
      </w:tr>
      <w:tr>
        <w:trPr>
          <w:trHeight w:val="570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textDirection w:val="lrTb"/>
            <w:noWrap w:val="false"/>
          </w:tcPr>
          <w:p>
            <w:r>
              <w:t xml:space="preserve">100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081" w:type="dxa"/>
            <w:textDirection w:val="lrTb"/>
            <w:noWrap w:val="false"/>
          </w:tcPr>
          <w:p>
            <w:r>
              <w:t xml:space="preserve">Građevina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93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65" w:type="dxa"/>
            <w:textDirection w:val="lrTb"/>
            <w:noWrap w:val="false"/>
          </w:tcPr>
          <w:p>
            <w:r>
              <w:t xml:space="preserve">Izgradnja stambenih i nestambenih zgrada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69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9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35" w:type="dxa"/>
            <w:textDirection w:val="lrTb"/>
            <w:noWrap w:val="false"/>
          </w:tcPr>
          <w:p>
            <w:r>
              <w:t xml:space="preserve">1685913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115" w:type="dxa"/>
            <w:textDirection w:val="lrTb"/>
            <w:noWrap w:val="false"/>
          </w:tcPr>
          <w:p>
            <w:r>
              <w:t xml:space="preserve">21433</w:t>
            </w:r>
            <w:r/>
          </w:p>
        </w:tc>
        <w:tc>
          <w:tcPr>
            <w:shd w:val="clear" w:color="fbe4d4" w:fill="fbe4d4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709" w:type="dxa"/>
            <w:textDirection w:val="lrTb"/>
            <w:noWrap w:val="false"/>
          </w:tcPr>
          <w:p>
            <w:r>
              <w:t xml:space="preserve">0</w:t>
            </w:r>
            <w:r/>
          </w:p>
        </w:tc>
      </w:tr>
    </w:tbl>
    <w:p>
      <w:pPr>
        <w:shd w:val="nil" w:color="auto"/>
        <w:rPr>
          <w:highlight w:val="none"/>
        </w:rPr>
      </w:pPr>
      <w:r>
        <w:rPr>
          <w:highlight w:val="none"/>
        </w:rPr>
        <w:br w:type="page" w:clear="all"/>
      </w:r>
      <w:r>
        <w:rPr>
          <w:highlight w:val="none"/>
        </w:rPr>
      </w:r>
      <w:r/>
    </w:p>
    <w:p>
      <w:pPr>
        <w:pStyle w:val="1807"/>
        <w:rPr>
          <w:highlight w:val="none"/>
        </w:rPr>
        <w:suppressLineNumbers w:val="0"/>
      </w:pPr>
      <w:r/>
      <w:bookmarkStart w:id="32" w:name="_Toc32"/>
      <w:r>
        <w:rPr>
          <w:b/>
          <w:bCs/>
          <w:sz w:val="32"/>
          <w:szCs w:val="32"/>
        </w:rPr>
        <w:t xml:space="preserve">Prilog 2: Lista 100 najvećih pravnih lica u Čačku, poredana po broju zaposlenih</w:t>
      </w:r>
      <w:r/>
      <w:bookmarkEnd w:id="32"/>
      <w:r/>
      <w:r/>
    </w:p>
    <w:tbl>
      <w:tblPr>
        <w:tblStyle w:val="1839"/>
        <w:tblW w:w="0" w:type="auto"/>
        <w:tblLook w:val="04A0" w:firstRow="1" w:lastRow="0" w:firstColumn="1" w:lastColumn="0" w:noHBand="0" w:noVBand="1"/>
      </w:tblPr>
      <w:tblGrid>
        <w:gridCol w:w="945"/>
        <w:gridCol w:w="945"/>
        <w:gridCol w:w="945"/>
        <w:gridCol w:w="945"/>
        <w:gridCol w:w="1710"/>
        <w:gridCol w:w="1440"/>
        <w:gridCol w:w="945"/>
      </w:tblGrid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R.br.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Šifra delatnosti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Bonitetna ocena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Veličina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Promet (EUR)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Neto dobit (EUR)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Broj zaposlenih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2540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D3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113473267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2827067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1955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2932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71203410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1469701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701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107024464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3015872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614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2829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34822197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2422144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449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13314176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150664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345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1071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18099028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1186319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337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9200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9417740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18895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325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1413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24702948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971090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313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1413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15333312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920565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50251138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732539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D3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14897154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-2195976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6209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11735420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335897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3811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E3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4967555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-1105560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58006988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506516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2219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E3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12424870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-1679623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21393369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15416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3600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5579674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-969406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170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5610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5354719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233790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168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15797680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506097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168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1413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9943477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997744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167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1722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24260081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687023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154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71379439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2770997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151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1071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18393016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3057619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147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25385459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256685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142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2369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21956896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1017460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136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4719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7653820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266983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123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3101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7707813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466256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123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4642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12204377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439661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15251177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188514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2016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20754254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1281460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2223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9490295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199342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181099159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15652340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2620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27373949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951818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1729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4808174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584874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4322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5786066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289510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3109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4694708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465402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2932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E3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4152992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-1881879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2932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23559879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719865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3530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E1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6266842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-405743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7802296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958160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18135545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203529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E2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13208352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6947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6696172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117523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8430533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526300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0230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11599240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82263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5016121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660121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2594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5010002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69768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6201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3864345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543973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4634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25891565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218715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70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3718509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79861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4677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23187115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1215870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5890215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150100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1610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6066774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1239944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4752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11723182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282963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4634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5312280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57317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4026555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25287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60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6203748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47130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34236460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372773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0141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D3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14303007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4640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16489669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441301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2222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3806387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193419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18038403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1098902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2361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7015414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1395668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1089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6770001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1861301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21490408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330590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10885835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866035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6118511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11246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23975425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1527634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4114552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54787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4037648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6323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5133516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321198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4784185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512447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8027704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450002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10145272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940478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7180256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3674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4403798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23253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66378666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2889572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2920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6954413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469504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4643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11448465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207982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1729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12861609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398966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11186336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207802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2712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5226257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727770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6545670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56018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9869213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125462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4763931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337845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4371665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25713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4638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4243408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58761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4579562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158919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6619507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239200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4532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6053921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515250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12826067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439550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4447006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323881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12870010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858266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4339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6888738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43865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4643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9005263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306388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3756735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78656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4643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8411578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266393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3986270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324138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5229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3680163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10280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710" w:type="dxa"/>
            <w:textDirection w:val="lrTb"/>
            <w:noWrap w:val="false"/>
          </w:tcPr>
          <w:p>
            <w:r>
              <w:t xml:space="preserve">6589793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440" w:type="dxa"/>
            <w:textDirection w:val="lrTb"/>
            <w:noWrap w:val="false"/>
          </w:tcPr>
          <w:p>
            <w:r>
              <w:t xml:space="preserve">244114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</w:t>
            </w:r>
            <w:r/>
          </w:p>
        </w:tc>
      </w:tr>
    </w:tbl>
    <w:p>
      <w:pPr>
        <w:tabs>
          <w:tab w:val="left" w:pos="5906" w:leader="none"/>
        </w:tabs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tabs>
          <w:tab w:val="left" w:pos="5906" w:leader="none"/>
        </w:tabs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p>
      <w:pPr>
        <w:shd w:val="nil" w:color="auto"/>
        <w:rPr>
          <w:highlight w:val="none"/>
        </w:rPr>
      </w:pPr>
      <w:r>
        <w:rPr>
          <w:highlight w:val="none"/>
        </w:rPr>
        <w:br w:type="page" w:clear="all"/>
      </w:r>
      <w:r>
        <w:rPr>
          <w:highlight w:val="none"/>
        </w:rPr>
      </w:r>
      <w:r/>
    </w:p>
    <w:p>
      <w:pPr>
        <w:pStyle w:val="1807"/>
        <w:rPr>
          <w:highlight w:val="none"/>
        </w:rPr>
      </w:pPr>
      <w:r/>
      <w:bookmarkStart w:id="33" w:name="_Toc33"/>
      <w:r>
        <w:rPr>
          <w:b/>
          <w:bCs/>
          <w:sz w:val="32"/>
          <w:szCs w:val="32"/>
        </w:rPr>
        <w:t xml:space="preserve">Prilog 3: Lista 100 najvećih pravnih lica u Kraljevu, poredana po broju zaposlenih</w:t>
      </w:r>
      <w:r>
        <w:rPr>
          <w:highlight w:val="none"/>
        </w:rPr>
      </w:r>
      <w:bookmarkEnd w:id="33"/>
      <w:r/>
      <w:r/>
    </w:p>
    <w:tbl>
      <w:tblPr>
        <w:tblStyle w:val="1839"/>
        <w:tblW w:w="0" w:type="auto"/>
        <w:jc w:val="center"/>
        <w:tblLook w:val="04A0" w:firstRow="1" w:lastRow="0" w:firstColumn="1" w:lastColumn="0" w:noHBand="0" w:noVBand="1"/>
      </w:tblPr>
      <w:tblGrid>
        <w:gridCol w:w="945"/>
        <w:gridCol w:w="945"/>
        <w:gridCol w:w="945"/>
        <w:gridCol w:w="945"/>
        <w:gridCol w:w="945"/>
        <w:gridCol w:w="945"/>
        <w:gridCol w:w="945"/>
      </w:tblGrid>
      <w:tr>
        <w:trPr>
          <w:trHeight w:val="85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R.br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Šifra delatnosti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Bonitetna ocena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Veličina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Promet (EUR)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Neto dobit (EUR)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Broj zaposlenih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1413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E3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16987964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-4459799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859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3109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31352767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1315088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700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3811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5611003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20655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304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3600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D3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5912845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-126727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273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9881245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365979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269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4222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86248742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10851165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21874862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210494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11563885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114446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2593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Veliko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95239973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1610871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159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12588730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568816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155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10094637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13314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152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4211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4466696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87322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145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6201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4306699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218313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137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2731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13787876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2198258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135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15716383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987592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124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4634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47455203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1885118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2561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6344474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137290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11197496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106371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1413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2007966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53779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1091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18345800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61752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2332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5288933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97021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2599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4405490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645481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3109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D1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5489531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3392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1729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2051499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-1588386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8002972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6170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1071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2792883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114258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90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4752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9880553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233406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3530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6197723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33961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2550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8493285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1781773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2529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4693872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748699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2593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20785515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656001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1610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3069566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60744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4321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7018601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50993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1071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6122502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82510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2599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22031117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211964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1061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3298161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12665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4321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16011114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967569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4211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6299864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426441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6820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4033187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1092271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5210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21516524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206153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7640958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356569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2116055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95039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0147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8640634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18416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50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7500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2110115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43592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4669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7988794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277092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Srednje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37925247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386557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6636452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543768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1610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2790747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146417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2182175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3486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4120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4856108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238020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2188037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333436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1051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8178838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212015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30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6678670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90133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7515957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92911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D2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4067379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35414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3417163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241764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3245612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245413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2834639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243712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2643381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39909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3289333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262111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1979893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252249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9471845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676375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1629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1922011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11092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1072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3979929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231722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1051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2827845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263940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4719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2206428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11314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3215590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49369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1051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2206445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66102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1051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2129036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60932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4752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2827759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130530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2295041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211648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2177910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4779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2098373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85100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4644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2139137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409640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2830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9582565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798676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1993874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221305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4634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3267327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94090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2086853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38439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4674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4080745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693116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2512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2293801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539264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2427639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50728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4711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1962861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82211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1882179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30303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0811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12087725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265102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4673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3372271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45430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4643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2807052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249575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2825597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69683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4639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1958767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48087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4632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2572253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72025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8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2748137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388779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4677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2554281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74093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4671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2880470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44712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4531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4027957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175379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6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94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7911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2013042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12989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5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95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2377090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117643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96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4941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A3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1960203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141212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B1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Malo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2312243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95637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4631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D3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1949538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-42353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99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2380363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98782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</w:t>
            </w:r>
            <w:r/>
          </w:p>
        </w:tc>
      </w:tr>
      <w:tr>
        <w:trPr>
          <w:trHeight w:val="285"/>
        </w:trPr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100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4690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C1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Mikro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3328097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9742</w:t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945" w:type="dxa"/>
            <w:textDirection w:val="lrTb"/>
            <w:noWrap w:val="false"/>
          </w:tcPr>
          <w:p>
            <w:r>
              <w:t xml:space="preserve">0</w:t>
            </w:r>
            <w:r/>
          </w:p>
        </w:tc>
      </w:tr>
    </w:tbl>
    <w:p>
      <w:pPr>
        <w:tabs>
          <w:tab w:val="left" w:pos="5906" w:leader="none"/>
        </w:tabs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/>
    </w:p>
    <w:sectPr>
      <w:headerReference w:type="default" r:id="rId10"/>
      <w:footerReference w:type="default" r:id="rId11"/>
      <w:footnotePr/>
      <w:endnotePr/>
      <w:type w:val="nextPage"/>
      <w:pgSz w:w="11906" w:h="16838" w:orient="portrait"/>
      <w:pgMar w:top="1134" w:right="1276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Carlito">
    <w:panose1 w:val="020F0502020204030204"/>
  </w:font>
  <w:font w:name="Liberation Sans">
    <w:panose1 w:val="020B0604020202020204"/>
  </w:font>
  <w:font w:name="Wingdings">
    <w:panose1 w:val="05010000000000000000"/>
  </w:font>
  <w:font w:name="Courier New">
    <w:panose1 w:val="02070409020205020404"/>
  </w:font>
  <w:font w:name="Times New Roman">
    <w:panose1 w:val="02020603050405020304"/>
  </w:font>
  <w:font w:name="Symbol">
    <w:panose1 w:val="05010000000000000000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835"/>
      <w:jc w:val="right"/>
    </w:pPr>
    <w:fldSimple w:instr="PAGE \* MERGEFORMAT">
      <w:r>
        <w:t xml:space="preserve">1</w:t>
      </w:r>
    </w:fldSimple>
    <w:r/>
    <w:r>
      <w:rPr>
        <w:sz w:val="22"/>
        <w:szCs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833"/>
      <w:rPr>
        <w:highlight w:val="none"/>
      </w:rPr>
    </w:pPr>
    <w:r>
      <w:rPr>
        <w:highlight w:val="none"/>
      </w:rPr>
    </w:r>
    <w:r/>
  </w:p>
  <w:tbl>
    <w:tblPr>
      <w:tblStyle w:val="1839"/>
      <w:tblW w:w="0" w:type="auto"/>
      <w:tblLayout w:type="fixed"/>
      <w:tblLook w:val="04A0" w:firstRow="1" w:lastRow="0" w:firstColumn="1" w:lastColumn="0" w:noHBand="0" w:noVBand="1"/>
    </w:tblPr>
    <w:tblGrid>
      <w:gridCol w:w="3260"/>
      <w:gridCol w:w="5669"/>
    </w:tblGrid>
    <w:tr>
      <w:trPr/>
      <w:tc>
        <w:tcPr>
          <w:tcBorders>
            <w:top w:val="none" w:color="000000" w:sz="4" w:space="0"/>
            <w:left w:val="none" w:color="000000" w:sz="4" w:space="0"/>
            <w:bottom w:val="single" w:color="000000" w:sz="4" w:space="0"/>
            <w:right w:val="single" w:color="000000" w:sz="4" w:space="0"/>
          </w:tcBorders>
          <w:tcW w:w="3260" w:type="dxa"/>
          <w:textDirection w:val="lrTb"/>
          <w:noWrap w:val="false"/>
        </w:tcPr>
        <w:p>
          <w:pPr>
            <w:pStyle w:val="1833"/>
            <w:rPr>
              <w:highlight w:val="none"/>
            </w:rPr>
          </w:pPr>
          <w:r>
            <w:rPr>
              <w:highlight w:val="none"/>
            </w:rPr>
          </w:r>
          <w: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759165" cy="176546"/>
                    <wp:effectExtent l="0" t="0" r="0" b="0"/>
                    <wp:docPr id="1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97510334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rcRect l="0" t="37655" r="0" b="39089"/>
                            <a:stretch/>
                          </pic:blipFill>
                          <pic:spPr bwMode="auto">
                            <a:xfrm flipH="0" flipV="0">
                              <a:off x="0" y="0"/>
                              <a:ext cx="759162" cy="17654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59.8pt;height:13.9pt;mso-wrap-distance-left:0.0pt;mso-wrap-distance-top:0.0pt;mso-wrap-distance-right:0.0pt;mso-wrap-distance-bottom:0.0pt;" stroked="false">
                    <v:path textboxrect="0,0,0,0"/>
                    <v:imagedata r:id="rId1" o:title=""/>
                  </v:shape>
                </w:pict>
              </mc:Fallback>
            </mc:AlternateContent>
            <w:t xml:space="preserve">powered by </w:t>
          </w:r>
          <w: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344574" cy="186575"/>
                    <wp:effectExtent l="0" t="0" r="0" b="0"/>
                    <wp:docPr id="2" name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819512619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2"/>
                            <a:srcRect l="17992" t="28202" r="17670" b="36962"/>
                            <a:stretch/>
                          </pic:blipFill>
                          <pic:spPr bwMode="auto">
                            <a:xfrm flipH="0" flipV="0">
                              <a:off x="0" y="0"/>
                              <a:ext cx="344574" cy="18657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width:27.1pt;height:14.7pt;mso-wrap-distance-left:0.0pt;mso-wrap-distance-top:0.0pt;mso-wrap-distance-right:0.0pt;mso-wrap-distance-bottom:0.0pt;" stroked="false">
                    <v:path textboxrect="0,0,0,0"/>
                    <v:imagedata r:id="rId2" o:title=""/>
                  </v:shape>
                </w:pict>
              </mc:Fallback>
            </mc:AlternateContent>
          </w:r>
          <w:r>
            <w:t xml:space="preserve"> </w:t>
          </w:r>
          <w:r>
            <w:rPr>
              <w:highlight w:val="none"/>
            </w:rPr>
          </w:r>
          <w:r/>
        </w:p>
      </w:tc>
      <w:tc>
        <w:tcPr>
          <w:tcBorders>
            <w:top w:val="none" w:color="000000" w:sz="4" w:space="0"/>
            <w:left w:val="single" w:color="000000" w:sz="4" w:space="0"/>
            <w:bottom w:val="single" w:color="000000" w:sz="4" w:space="0"/>
            <w:right w:val="none" w:color="000000" w:sz="4" w:space="0"/>
          </w:tcBorders>
          <w:tcW w:w="5669" w:type="dxa"/>
          <w:textDirection w:val="lrTb"/>
          <w:noWrap w:val="false"/>
        </w:tcPr>
        <w:p>
          <w:pPr>
            <w:pStyle w:val="1835"/>
          </w:pPr>
          <w:r>
            <w:rPr>
              <w:sz w:val="22"/>
              <w:szCs w:val="22"/>
            </w:rPr>
          </w:r>
          <w:r>
            <w:rPr>
              <w:sz w:val="22"/>
              <w:szCs w:val="22"/>
              <w:u w:val="single"/>
            </w:rPr>
            <w:t xml:space="preserve">Analiza 100 najvećih pravnih lica  u Novom Pazaru    </w:t>
          </w:r>
          <w:r>
            <w:rPr>
              <w:sz w:val="22"/>
              <w:szCs w:val="22"/>
              <w:u w:val="single"/>
            </w:rPr>
            <w:t xml:space="preserve">(po prometu)</w:t>
          </w:r>
          <w:r>
            <w:rPr>
              <w:sz w:val="22"/>
              <w:szCs w:val="22"/>
            </w:rPr>
            <w:t xml:space="preserve"> (na dan 31.12 2024.)</w:t>
          </w:r>
          <w:r>
            <w:rPr>
              <w:sz w:val="22"/>
              <w:szCs w:val="22"/>
            </w:rPr>
          </w:r>
          <w:r/>
        </w:p>
      </w:tc>
    </w:tr>
  </w:tbl>
  <w:p>
    <w:pPr>
      <w:pStyle w:val="1833"/>
      <w:rPr>
        <w:highlight w:val="none"/>
      </w:rPr>
    </w:pPr>
    <w:r>
      <w:rPr>
        <w:highlight w:val="none"/>
      </w:rPr>
    </w:r>
    <w:r>
      <w:rPr>
        <w:highlight w:val="none"/>
      </w:rPr>
    </w:r>
    <w:r/>
  </w:p>
  <w:p>
    <w:pPr>
      <w:pStyle w:val="1833"/>
      <w:rPr>
        <w:highlight w:val="none"/>
      </w:rPr>
    </w:pPr>
    <w:r>
      <w:rPr>
        <w:highlight w:val="none"/>
      </w:rPr>
    </w:r>
    <w:r>
      <w:rPr>
        <w:highlight w:val="none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5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6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7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7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7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7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7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7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7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8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8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8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8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8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8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8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8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9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9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9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9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9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9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9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9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9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9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1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0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0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0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0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0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0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12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3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5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6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6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6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6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6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6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6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6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6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7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7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7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7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7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7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7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7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7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7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8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8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8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8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8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8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8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8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8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8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9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9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9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9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9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9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9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9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9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19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0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0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0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0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0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0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0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0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0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0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3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5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5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5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5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5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5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5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6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6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6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6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6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6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6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6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6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7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7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7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7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7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7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7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7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7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7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8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8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8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8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8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8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8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8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8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8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9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9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9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9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9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9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29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9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9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29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0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0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0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0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0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0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0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0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0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0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3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3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4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4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4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4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5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5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5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5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5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5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5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5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6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6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6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64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6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6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36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6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6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7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37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7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8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8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8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8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8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8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8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8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8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8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3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4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5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6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7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7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7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7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7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47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7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77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78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7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8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9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0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1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2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2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2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2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2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2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2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2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2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2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3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3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3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3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3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3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3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3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4"/>
      </w:rPr>
    </w:lvl>
  </w:abstractNum>
  <w:abstractNum w:abstractNumId="53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3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4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4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 w:numId="287">
    <w:abstractNumId w:val="286"/>
  </w:num>
  <w:num w:numId="288">
    <w:abstractNumId w:val="287"/>
  </w:num>
  <w:num w:numId="289">
    <w:abstractNumId w:val="288"/>
  </w:num>
  <w:num w:numId="290">
    <w:abstractNumId w:val="289"/>
  </w:num>
  <w:num w:numId="291">
    <w:abstractNumId w:val="290"/>
  </w:num>
  <w:num w:numId="292">
    <w:abstractNumId w:val="291"/>
  </w:num>
  <w:num w:numId="293">
    <w:abstractNumId w:val="292"/>
  </w:num>
  <w:num w:numId="294">
    <w:abstractNumId w:val="293"/>
  </w:num>
  <w:num w:numId="295">
    <w:abstractNumId w:val="294"/>
  </w:num>
  <w:num w:numId="296">
    <w:abstractNumId w:val="295"/>
  </w:num>
  <w:num w:numId="297">
    <w:abstractNumId w:val="296"/>
  </w:num>
  <w:num w:numId="298">
    <w:abstractNumId w:val="297"/>
  </w:num>
  <w:num w:numId="299">
    <w:abstractNumId w:val="298"/>
  </w:num>
  <w:num w:numId="300">
    <w:abstractNumId w:val="299"/>
  </w:num>
  <w:num w:numId="301">
    <w:abstractNumId w:val="300"/>
  </w:num>
  <w:num w:numId="302">
    <w:abstractNumId w:val="301"/>
  </w:num>
  <w:num w:numId="303">
    <w:abstractNumId w:val="302"/>
  </w:num>
  <w:num w:numId="304">
    <w:abstractNumId w:val="303"/>
  </w:num>
  <w:num w:numId="305">
    <w:abstractNumId w:val="304"/>
  </w:num>
  <w:num w:numId="306">
    <w:abstractNumId w:val="305"/>
  </w:num>
  <w:num w:numId="307">
    <w:abstractNumId w:val="306"/>
  </w:num>
  <w:num w:numId="308">
    <w:abstractNumId w:val="307"/>
  </w:num>
  <w:num w:numId="309">
    <w:abstractNumId w:val="308"/>
  </w:num>
  <w:num w:numId="310">
    <w:abstractNumId w:val="309"/>
  </w:num>
  <w:num w:numId="311">
    <w:abstractNumId w:val="310"/>
  </w:num>
  <w:num w:numId="312">
    <w:abstractNumId w:val="311"/>
  </w:num>
  <w:num w:numId="313">
    <w:abstractNumId w:val="312"/>
  </w:num>
  <w:num w:numId="314">
    <w:abstractNumId w:val="313"/>
  </w:num>
  <w:num w:numId="315">
    <w:abstractNumId w:val="314"/>
  </w:num>
  <w:num w:numId="316">
    <w:abstractNumId w:val="315"/>
  </w:num>
  <w:num w:numId="317">
    <w:abstractNumId w:val="316"/>
  </w:num>
  <w:num w:numId="318">
    <w:abstractNumId w:val="317"/>
  </w:num>
  <w:num w:numId="319">
    <w:abstractNumId w:val="318"/>
  </w:num>
  <w:num w:numId="320">
    <w:abstractNumId w:val="319"/>
  </w:num>
  <w:num w:numId="321">
    <w:abstractNumId w:val="320"/>
  </w:num>
  <w:num w:numId="322">
    <w:abstractNumId w:val="321"/>
  </w:num>
  <w:num w:numId="323">
    <w:abstractNumId w:val="322"/>
  </w:num>
  <w:num w:numId="324">
    <w:abstractNumId w:val="323"/>
  </w:num>
  <w:num w:numId="325">
    <w:abstractNumId w:val="324"/>
  </w:num>
  <w:num w:numId="326">
    <w:abstractNumId w:val="325"/>
  </w:num>
  <w:num w:numId="327">
    <w:abstractNumId w:val="326"/>
  </w:num>
  <w:num w:numId="328">
    <w:abstractNumId w:val="327"/>
  </w:num>
  <w:num w:numId="329">
    <w:abstractNumId w:val="328"/>
  </w:num>
  <w:num w:numId="330">
    <w:abstractNumId w:val="329"/>
  </w:num>
  <w:num w:numId="331">
    <w:abstractNumId w:val="330"/>
  </w:num>
  <w:num w:numId="332">
    <w:abstractNumId w:val="331"/>
  </w:num>
  <w:num w:numId="333">
    <w:abstractNumId w:val="332"/>
  </w:num>
  <w:num w:numId="334">
    <w:abstractNumId w:val="333"/>
  </w:num>
  <w:num w:numId="335">
    <w:abstractNumId w:val="334"/>
  </w:num>
  <w:num w:numId="336">
    <w:abstractNumId w:val="335"/>
  </w:num>
  <w:num w:numId="337">
    <w:abstractNumId w:val="336"/>
  </w:num>
  <w:num w:numId="338">
    <w:abstractNumId w:val="337"/>
  </w:num>
  <w:num w:numId="339">
    <w:abstractNumId w:val="338"/>
  </w:num>
  <w:num w:numId="340">
    <w:abstractNumId w:val="339"/>
  </w:num>
  <w:num w:numId="341">
    <w:abstractNumId w:val="340"/>
  </w:num>
  <w:num w:numId="342">
    <w:abstractNumId w:val="341"/>
  </w:num>
  <w:num w:numId="343">
    <w:abstractNumId w:val="342"/>
  </w:num>
  <w:num w:numId="344">
    <w:abstractNumId w:val="343"/>
  </w:num>
  <w:num w:numId="345">
    <w:abstractNumId w:val="344"/>
  </w:num>
  <w:num w:numId="346">
    <w:abstractNumId w:val="345"/>
  </w:num>
  <w:num w:numId="347">
    <w:abstractNumId w:val="346"/>
  </w:num>
  <w:num w:numId="348">
    <w:abstractNumId w:val="347"/>
  </w:num>
  <w:num w:numId="349">
    <w:abstractNumId w:val="348"/>
  </w:num>
  <w:num w:numId="350">
    <w:abstractNumId w:val="349"/>
  </w:num>
  <w:num w:numId="351">
    <w:abstractNumId w:val="350"/>
  </w:num>
  <w:num w:numId="352">
    <w:abstractNumId w:val="351"/>
  </w:num>
  <w:num w:numId="353">
    <w:abstractNumId w:val="352"/>
  </w:num>
  <w:num w:numId="354">
    <w:abstractNumId w:val="353"/>
  </w:num>
  <w:num w:numId="355">
    <w:abstractNumId w:val="354"/>
  </w:num>
  <w:num w:numId="356">
    <w:abstractNumId w:val="355"/>
  </w:num>
  <w:num w:numId="357">
    <w:abstractNumId w:val="356"/>
  </w:num>
  <w:num w:numId="358">
    <w:abstractNumId w:val="357"/>
  </w:num>
  <w:num w:numId="359">
    <w:abstractNumId w:val="358"/>
  </w:num>
  <w:num w:numId="360">
    <w:abstractNumId w:val="359"/>
  </w:num>
  <w:num w:numId="361">
    <w:abstractNumId w:val="360"/>
  </w:num>
  <w:num w:numId="362">
    <w:abstractNumId w:val="361"/>
  </w:num>
  <w:num w:numId="363">
    <w:abstractNumId w:val="362"/>
  </w:num>
  <w:num w:numId="364">
    <w:abstractNumId w:val="363"/>
  </w:num>
  <w:num w:numId="365">
    <w:abstractNumId w:val="364"/>
  </w:num>
  <w:num w:numId="366">
    <w:abstractNumId w:val="365"/>
  </w:num>
  <w:num w:numId="367">
    <w:abstractNumId w:val="366"/>
  </w:num>
  <w:num w:numId="368">
    <w:abstractNumId w:val="367"/>
  </w:num>
  <w:num w:numId="369">
    <w:abstractNumId w:val="368"/>
  </w:num>
  <w:num w:numId="370">
    <w:abstractNumId w:val="369"/>
  </w:num>
  <w:num w:numId="371">
    <w:abstractNumId w:val="370"/>
  </w:num>
  <w:num w:numId="372">
    <w:abstractNumId w:val="371"/>
  </w:num>
  <w:num w:numId="373">
    <w:abstractNumId w:val="372"/>
  </w:num>
  <w:num w:numId="374">
    <w:abstractNumId w:val="373"/>
  </w:num>
  <w:num w:numId="375">
    <w:abstractNumId w:val="374"/>
  </w:num>
  <w:num w:numId="376">
    <w:abstractNumId w:val="375"/>
  </w:num>
  <w:num w:numId="377">
    <w:abstractNumId w:val="376"/>
  </w:num>
  <w:num w:numId="378">
    <w:abstractNumId w:val="377"/>
  </w:num>
  <w:num w:numId="379">
    <w:abstractNumId w:val="378"/>
  </w:num>
  <w:num w:numId="380">
    <w:abstractNumId w:val="379"/>
  </w:num>
  <w:num w:numId="381">
    <w:abstractNumId w:val="380"/>
  </w:num>
  <w:num w:numId="382">
    <w:abstractNumId w:val="381"/>
  </w:num>
  <w:num w:numId="383">
    <w:abstractNumId w:val="382"/>
  </w:num>
  <w:num w:numId="384">
    <w:abstractNumId w:val="383"/>
  </w:num>
  <w:num w:numId="385">
    <w:abstractNumId w:val="384"/>
  </w:num>
  <w:num w:numId="386">
    <w:abstractNumId w:val="385"/>
  </w:num>
  <w:num w:numId="387">
    <w:abstractNumId w:val="386"/>
  </w:num>
  <w:num w:numId="388">
    <w:abstractNumId w:val="387"/>
  </w:num>
  <w:num w:numId="389">
    <w:abstractNumId w:val="388"/>
  </w:num>
  <w:num w:numId="390">
    <w:abstractNumId w:val="389"/>
  </w:num>
  <w:num w:numId="391">
    <w:abstractNumId w:val="390"/>
  </w:num>
  <w:num w:numId="392">
    <w:abstractNumId w:val="391"/>
  </w:num>
  <w:num w:numId="393">
    <w:abstractNumId w:val="392"/>
  </w:num>
  <w:num w:numId="394">
    <w:abstractNumId w:val="393"/>
  </w:num>
  <w:num w:numId="395">
    <w:abstractNumId w:val="394"/>
  </w:num>
  <w:num w:numId="396">
    <w:abstractNumId w:val="395"/>
  </w:num>
  <w:num w:numId="397">
    <w:abstractNumId w:val="396"/>
  </w:num>
  <w:num w:numId="398">
    <w:abstractNumId w:val="397"/>
  </w:num>
  <w:num w:numId="399">
    <w:abstractNumId w:val="398"/>
  </w:num>
  <w:num w:numId="400">
    <w:abstractNumId w:val="399"/>
  </w:num>
  <w:num w:numId="401">
    <w:abstractNumId w:val="400"/>
  </w:num>
  <w:num w:numId="402">
    <w:abstractNumId w:val="401"/>
  </w:num>
  <w:num w:numId="403">
    <w:abstractNumId w:val="402"/>
  </w:num>
  <w:num w:numId="404">
    <w:abstractNumId w:val="403"/>
  </w:num>
  <w:num w:numId="405">
    <w:abstractNumId w:val="404"/>
  </w:num>
  <w:num w:numId="406">
    <w:abstractNumId w:val="405"/>
  </w:num>
  <w:num w:numId="407">
    <w:abstractNumId w:val="406"/>
  </w:num>
  <w:num w:numId="408">
    <w:abstractNumId w:val="407"/>
  </w:num>
  <w:num w:numId="409">
    <w:abstractNumId w:val="408"/>
  </w:num>
  <w:num w:numId="410">
    <w:abstractNumId w:val="409"/>
  </w:num>
  <w:num w:numId="411">
    <w:abstractNumId w:val="410"/>
  </w:num>
  <w:num w:numId="412">
    <w:abstractNumId w:val="411"/>
  </w:num>
  <w:num w:numId="413">
    <w:abstractNumId w:val="412"/>
  </w:num>
  <w:num w:numId="414">
    <w:abstractNumId w:val="413"/>
  </w:num>
  <w:num w:numId="415">
    <w:abstractNumId w:val="414"/>
  </w:num>
  <w:num w:numId="416">
    <w:abstractNumId w:val="415"/>
  </w:num>
  <w:num w:numId="417">
    <w:abstractNumId w:val="416"/>
  </w:num>
  <w:num w:numId="418">
    <w:abstractNumId w:val="417"/>
  </w:num>
  <w:num w:numId="419">
    <w:abstractNumId w:val="418"/>
  </w:num>
  <w:num w:numId="420">
    <w:abstractNumId w:val="419"/>
  </w:num>
  <w:num w:numId="421">
    <w:abstractNumId w:val="420"/>
  </w:num>
  <w:num w:numId="422">
    <w:abstractNumId w:val="421"/>
  </w:num>
  <w:num w:numId="423">
    <w:abstractNumId w:val="422"/>
  </w:num>
  <w:num w:numId="424">
    <w:abstractNumId w:val="423"/>
  </w:num>
  <w:num w:numId="425">
    <w:abstractNumId w:val="424"/>
  </w:num>
  <w:num w:numId="426">
    <w:abstractNumId w:val="425"/>
  </w:num>
  <w:num w:numId="427">
    <w:abstractNumId w:val="426"/>
  </w:num>
  <w:num w:numId="428">
    <w:abstractNumId w:val="427"/>
  </w:num>
  <w:num w:numId="429">
    <w:abstractNumId w:val="428"/>
  </w:num>
  <w:num w:numId="430">
    <w:abstractNumId w:val="429"/>
  </w:num>
  <w:num w:numId="431">
    <w:abstractNumId w:val="430"/>
  </w:num>
  <w:num w:numId="432">
    <w:abstractNumId w:val="431"/>
  </w:num>
  <w:num w:numId="433">
    <w:abstractNumId w:val="432"/>
  </w:num>
  <w:num w:numId="434">
    <w:abstractNumId w:val="433"/>
  </w:num>
  <w:num w:numId="435">
    <w:abstractNumId w:val="434"/>
  </w:num>
  <w:num w:numId="436">
    <w:abstractNumId w:val="435"/>
  </w:num>
  <w:num w:numId="437">
    <w:abstractNumId w:val="436"/>
  </w:num>
  <w:num w:numId="438">
    <w:abstractNumId w:val="437"/>
  </w:num>
  <w:num w:numId="439">
    <w:abstractNumId w:val="438"/>
  </w:num>
  <w:num w:numId="440">
    <w:abstractNumId w:val="439"/>
  </w:num>
  <w:num w:numId="441">
    <w:abstractNumId w:val="440"/>
  </w:num>
  <w:num w:numId="442">
    <w:abstractNumId w:val="441"/>
  </w:num>
  <w:num w:numId="443">
    <w:abstractNumId w:val="442"/>
  </w:num>
  <w:num w:numId="444">
    <w:abstractNumId w:val="443"/>
  </w:num>
  <w:num w:numId="445">
    <w:abstractNumId w:val="444"/>
  </w:num>
  <w:num w:numId="446">
    <w:abstractNumId w:val="445"/>
  </w:num>
  <w:num w:numId="447">
    <w:abstractNumId w:val="446"/>
  </w:num>
  <w:num w:numId="448">
    <w:abstractNumId w:val="447"/>
  </w:num>
  <w:num w:numId="449">
    <w:abstractNumId w:val="448"/>
  </w:num>
  <w:num w:numId="450">
    <w:abstractNumId w:val="449"/>
  </w:num>
  <w:num w:numId="451">
    <w:abstractNumId w:val="450"/>
  </w:num>
  <w:num w:numId="452">
    <w:abstractNumId w:val="451"/>
  </w:num>
  <w:num w:numId="453">
    <w:abstractNumId w:val="452"/>
  </w:num>
  <w:num w:numId="454">
    <w:abstractNumId w:val="453"/>
  </w:num>
  <w:num w:numId="455">
    <w:abstractNumId w:val="454"/>
  </w:num>
  <w:num w:numId="456">
    <w:abstractNumId w:val="455"/>
  </w:num>
  <w:num w:numId="457">
    <w:abstractNumId w:val="456"/>
  </w:num>
  <w:num w:numId="458">
    <w:abstractNumId w:val="457"/>
  </w:num>
  <w:num w:numId="459">
    <w:abstractNumId w:val="458"/>
  </w:num>
  <w:num w:numId="460">
    <w:abstractNumId w:val="459"/>
  </w:num>
  <w:num w:numId="461">
    <w:abstractNumId w:val="460"/>
  </w:num>
  <w:num w:numId="462">
    <w:abstractNumId w:val="461"/>
  </w:num>
  <w:num w:numId="463">
    <w:abstractNumId w:val="462"/>
  </w:num>
  <w:num w:numId="464">
    <w:abstractNumId w:val="463"/>
  </w:num>
  <w:num w:numId="465">
    <w:abstractNumId w:val="464"/>
  </w:num>
  <w:num w:numId="466">
    <w:abstractNumId w:val="465"/>
  </w:num>
  <w:num w:numId="467">
    <w:abstractNumId w:val="466"/>
  </w:num>
  <w:num w:numId="468">
    <w:abstractNumId w:val="467"/>
  </w:num>
  <w:num w:numId="469">
    <w:abstractNumId w:val="468"/>
  </w:num>
  <w:num w:numId="470">
    <w:abstractNumId w:val="469"/>
  </w:num>
  <w:num w:numId="471">
    <w:abstractNumId w:val="470"/>
  </w:num>
  <w:num w:numId="472">
    <w:abstractNumId w:val="471"/>
  </w:num>
  <w:num w:numId="473">
    <w:abstractNumId w:val="472"/>
  </w:num>
  <w:num w:numId="474">
    <w:abstractNumId w:val="473"/>
  </w:num>
  <w:num w:numId="475">
    <w:abstractNumId w:val="474"/>
  </w:num>
  <w:num w:numId="476">
    <w:abstractNumId w:val="475"/>
  </w:num>
  <w:num w:numId="477">
    <w:abstractNumId w:val="476"/>
  </w:num>
  <w:num w:numId="478">
    <w:abstractNumId w:val="477"/>
  </w:num>
  <w:num w:numId="479">
    <w:abstractNumId w:val="478"/>
  </w:num>
  <w:num w:numId="480">
    <w:abstractNumId w:val="479"/>
  </w:num>
  <w:num w:numId="481">
    <w:abstractNumId w:val="480"/>
  </w:num>
  <w:num w:numId="482">
    <w:abstractNumId w:val="481"/>
  </w:num>
  <w:num w:numId="483">
    <w:abstractNumId w:val="482"/>
  </w:num>
  <w:num w:numId="484">
    <w:abstractNumId w:val="483"/>
  </w:num>
  <w:num w:numId="485">
    <w:abstractNumId w:val="484"/>
  </w:num>
  <w:num w:numId="486">
    <w:abstractNumId w:val="485"/>
  </w:num>
  <w:num w:numId="487">
    <w:abstractNumId w:val="486"/>
  </w:num>
  <w:num w:numId="488">
    <w:abstractNumId w:val="487"/>
  </w:num>
  <w:num w:numId="489">
    <w:abstractNumId w:val="488"/>
  </w:num>
  <w:num w:numId="490">
    <w:abstractNumId w:val="489"/>
  </w:num>
  <w:num w:numId="491">
    <w:abstractNumId w:val="490"/>
  </w:num>
  <w:num w:numId="492">
    <w:abstractNumId w:val="491"/>
  </w:num>
  <w:num w:numId="493">
    <w:abstractNumId w:val="492"/>
  </w:num>
  <w:num w:numId="494">
    <w:abstractNumId w:val="493"/>
  </w:num>
  <w:num w:numId="495">
    <w:abstractNumId w:val="494"/>
  </w:num>
  <w:num w:numId="496">
    <w:abstractNumId w:val="495"/>
  </w:num>
  <w:num w:numId="497">
    <w:abstractNumId w:val="496"/>
  </w:num>
  <w:num w:numId="498">
    <w:abstractNumId w:val="497"/>
  </w:num>
  <w:num w:numId="499">
    <w:abstractNumId w:val="498"/>
  </w:num>
  <w:num w:numId="500">
    <w:abstractNumId w:val="499"/>
  </w:num>
  <w:num w:numId="501">
    <w:abstractNumId w:val="500"/>
  </w:num>
  <w:num w:numId="502">
    <w:abstractNumId w:val="501"/>
  </w:num>
  <w:num w:numId="503">
    <w:abstractNumId w:val="502"/>
  </w:num>
  <w:num w:numId="504">
    <w:abstractNumId w:val="503"/>
  </w:num>
  <w:num w:numId="505">
    <w:abstractNumId w:val="504"/>
  </w:num>
  <w:num w:numId="506">
    <w:abstractNumId w:val="505"/>
  </w:num>
  <w:num w:numId="507">
    <w:abstractNumId w:val="506"/>
  </w:num>
  <w:num w:numId="508">
    <w:abstractNumId w:val="507"/>
  </w:num>
  <w:num w:numId="509">
    <w:abstractNumId w:val="508"/>
  </w:num>
  <w:num w:numId="510">
    <w:abstractNumId w:val="509"/>
  </w:num>
  <w:num w:numId="511">
    <w:abstractNumId w:val="510"/>
  </w:num>
  <w:num w:numId="512">
    <w:abstractNumId w:val="511"/>
  </w:num>
  <w:num w:numId="513">
    <w:abstractNumId w:val="512"/>
  </w:num>
  <w:num w:numId="514">
    <w:abstractNumId w:val="513"/>
  </w:num>
  <w:num w:numId="515">
    <w:abstractNumId w:val="514"/>
  </w:num>
  <w:num w:numId="516">
    <w:abstractNumId w:val="515"/>
  </w:num>
  <w:num w:numId="517">
    <w:abstractNumId w:val="516"/>
  </w:num>
  <w:num w:numId="518">
    <w:abstractNumId w:val="517"/>
  </w:num>
  <w:num w:numId="519">
    <w:abstractNumId w:val="518"/>
  </w:num>
  <w:num w:numId="520">
    <w:abstractNumId w:val="519"/>
  </w:num>
  <w:num w:numId="521">
    <w:abstractNumId w:val="520"/>
  </w:num>
  <w:num w:numId="522">
    <w:abstractNumId w:val="521"/>
  </w:num>
  <w:num w:numId="523">
    <w:abstractNumId w:val="522"/>
  </w:num>
  <w:num w:numId="524">
    <w:abstractNumId w:val="523"/>
  </w:num>
  <w:num w:numId="525">
    <w:abstractNumId w:val="524"/>
  </w:num>
  <w:num w:numId="526">
    <w:abstractNumId w:val="525"/>
  </w:num>
  <w:num w:numId="527">
    <w:abstractNumId w:val="526"/>
  </w:num>
  <w:num w:numId="528">
    <w:abstractNumId w:val="527"/>
  </w:num>
  <w:num w:numId="529">
    <w:abstractNumId w:val="528"/>
  </w:num>
  <w:num w:numId="530">
    <w:abstractNumId w:val="529"/>
  </w:num>
  <w:num w:numId="531">
    <w:abstractNumId w:val="530"/>
  </w:num>
  <w:num w:numId="532">
    <w:abstractNumId w:val="531"/>
  </w:num>
  <w:num w:numId="533">
    <w:abstractNumId w:val="532"/>
  </w:num>
  <w:num w:numId="534">
    <w:abstractNumId w:val="533"/>
  </w:num>
  <w:num w:numId="535">
    <w:abstractNumId w:val="534"/>
  </w:num>
  <w:num w:numId="536">
    <w:abstractNumId w:val="535"/>
  </w:num>
  <w:num w:numId="537">
    <w:abstractNumId w:val="536"/>
  </w:num>
  <w:num w:numId="538">
    <w:abstractNumId w:val="537"/>
  </w:num>
  <w:num w:numId="539">
    <w:abstractNumId w:val="538"/>
  </w:num>
  <w:num w:numId="540">
    <w:abstractNumId w:val="539"/>
  </w:num>
  <w:num w:numId="541">
    <w:abstractNumId w:val="540"/>
  </w:num>
  <w:num w:numId="542">
    <w:abstractNumId w:val="5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807">
    <w:name w:val="Heading 1"/>
    <w:basedOn w:val="1983"/>
    <w:next w:val="1983"/>
    <w:link w:val="180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808">
    <w:name w:val="Heading 1 Char"/>
    <w:link w:val="1807"/>
    <w:uiPriority w:val="9"/>
    <w:rPr>
      <w:rFonts w:ascii="Arial" w:hAnsi="Arial" w:eastAsia="Arial" w:cs="Arial"/>
      <w:sz w:val="40"/>
      <w:szCs w:val="40"/>
    </w:rPr>
  </w:style>
  <w:style w:type="paragraph" w:styleId="1809">
    <w:name w:val="Heading 2"/>
    <w:basedOn w:val="1983"/>
    <w:next w:val="1983"/>
    <w:link w:val="181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810">
    <w:name w:val="Heading 2 Char"/>
    <w:link w:val="1809"/>
    <w:uiPriority w:val="9"/>
    <w:rPr>
      <w:rFonts w:ascii="Arial" w:hAnsi="Arial" w:eastAsia="Arial" w:cs="Arial"/>
      <w:sz w:val="34"/>
    </w:rPr>
  </w:style>
  <w:style w:type="paragraph" w:styleId="1811">
    <w:name w:val="Heading 3"/>
    <w:basedOn w:val="1983"/>
    <w:next w:val="1983"/>
    <w:link w:val="181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12">
    <w:name w:val="Heading 3 Char"/>
    <w:link w:val="1811"/>
    <w:uiPriority w:val="9"/>
    <w:rPr>
      <w:rFonts w:ascii="Arial" w:hAnsi="Arial" w:eastAsia="Arial" w:cs="Arial"/>
      <w:sz w:val="30"/>
      <w:szCs w:val="30"/>
    </w:rPr>
  </w:style>
  <w:style w:type="paragraph" w:styleId="1813">
    <w:name w:val="Heading 4"/>
    <w:basedOn w:val="1983"/>
    <w:next w:val="1983"/>
    <w:link w:val="181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814">
    <w:name w:val="Heading 4 Char"/>
    <w:link w:val="1813"/>
    <w:uiPriority w:val="9"/>
    <w:rPr>
      <w:rFonts w:ascii="Arial" w:hAnsi="Arial" w:eastAsia="Arial" w:cs="Arial"/>
      <w:b/>
      <w:bCs/>
      <w:sz w:val="26"/>
      <w:szCs w:val="26"/>
    </w:rPr>
  </w:style>
  <w:style w:type="paragraph" w:styleId="1815">
    <w:name w:val="Heading 5"/>
    <w:basedOn w:val="1983"/>
    <w:next w:val="1983"/>
    <w:link w:val="181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1816">
    <w:name w:val="Heading 5 Char"/>
    <w:link w:val="1815"/>
    <w:uiPriority w:val="9"/>
    <w:rPr>
      <w:rFonts w:ascii="Arial" w:hAnsi="Arial" w:eastAsia="Arial" w:cs="Arial"/>
      <w:b/>
      <w:bCs/>
      <w:sz w:val="24"/>
      <w:szCs w:val="24"/>
    </w:rPr>
  </w:style>
  <w:style w:type="paragraph" w:styleId="1817">
    <w:name w:val="Heading 6"/>
    <w:basedOn w:val="1983"/>
    <w:next w:val="1983"/>
    <w:link w:val="181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1818">
    <w:name w:val="Heading 6 Char"/>
    <w:link w:val="1817"/>
    <w:uiPriority w:val="9"/>
    <w:rPr>
      <w:rFonts w:ascii="Arial" w:hAnsi="Arial" w:eastAsia="Arial" w:cs="Arial"/>
      <w:b/>
      <w:bCs/>
      <w:sz w:val="22"/>
      <w:szCs w:val="22"/>
    </w:rPr>
  </w:style>
  <w:style w:type="paragraph" w:styleId="1819">
    <w:name w:val="Heading 7"/>
    <w:basedOn w:val="1983"/>
    <w:next w:val="1983"/>
    <w:link w:val="182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1820">
    <w:name w:val="Heading 7 Char"/>
    <w:link w:val="181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1821">
    <w:name w:val="Heading 8"/>
    <w:basedOn w:val="1983"/>
    <w:next w:val="1983"/>
    <w:link w:val="182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1822">
    <w:name w:val="Heading 8 Char"/>
    <w:link w:val="1821"/>
    <w:uiPriority w:val="9"/>
    <w:rPr>
      <w:rFonts w:ascii="Arial" w:hAnsi="Arial" w:eastAsia="Arial" w:cs="Arial"/>
      <w:i/>
      <w:iCs/>
      <w:sz w:val="22"/>
      <w:szCs w:val="22"/>
    </w:rPr>
  </w:style>
  <w:style w:type="paragraph" w:styleId="1823">
    <w:name w:val="Heading 9"/>
    <w:basedOn w:val="1983"/>
    <w:next w:val="1983"/>
    <w:link w:val="182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1824">
    <w:name w:val="Heading 9 Char"/>
    <w:link w:val="1823"/>
    <w:uiPriority w:val="9"/>
    <w:rPr>
      <w:rFonts w:ascii="Arial" w:hAnsi="Arial" w:eastAsia="Arial" w:cs="Arial"/>
      <w:i/>
      <w:iCs/>
      <w:sz w:val="21"/>
      <w:szCs w:val="21"/>
    </w:rPr>
  </w:style>
  <w:style w:type="paragraph" w:styleId="1825">
    <w:name w:val="Title"/>
    <w:basedOn w:val="1983"/>
    <w:next w:val="1983"/>
    <w:link w:val="182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1826">
    <w:name w:val="Title Char"/>
    <w:link w:val="1825"/>
    <w:uiPriority w:val="10"/>
    <w:rPr>
      <w:sz w:val="48"/>
      <w:szCs w:val="48"/>
    </w:rPr>
  </w:style>
  <w:style w:type="paragraph" w:styleId="1827">
    <w:name w:val="Subtitle"/>
    <w:basedOn w:val="1983"/>
    <w:next w:val="1983"/>
    <w:link w:val="1828"/>
    <w:uiPriority w:val="11"/>
    <w:qFormat/>
    <w:pPr>
      <w:spacing w:before="200" w:after="200"/>
    </w:pPr>
    <w:rPr>
      <w:sz w:val="24"/>
      <w:szCs w:val="24"/>
    </w:rPr>
  </w:style>
  <w:style w:type="character" w:styleId="1828">
    <w:name w:val="Subtitle Char"/>
    <w:link w:val="1827"/>
    <w:uiPriority w:val="11"/>
    <w:rPr>
      <w:sz w:val="24"/>
      <w:szCs w:val="24"/>
    </w:rPr>
  </w:style>
  <w:style w:type="paragraph" w:styleId="1829">
    <w:name w:val="Quote"/>
    <w:basedOn w:val="1983"/>
    <w:next w:val="1983"/>
    <w:link w:val="1830"/>
    <w:uiPriority w:val="29"/>
    <w:qFormat/>
    <w:pPr>
      <w:ind w:left="720" w:right="720"/>
    </w:pPr>
    <w:rPr>
      <w:i/>
    </w:rPr>
  </w:style>
  <w:style w:type="character" w:styleId="1830">
    <w:name w:val="Quote Char"/>
    <w:link w:val="1829"/>
    <w:uiPriority w:val="29"/>
    <w:rPr>
      <w:i/>
    </w:rPr>
  </w:style>
  <w:style w:type="paragraph" w:styleId="1831">
    <w:name w:val="Intense Quote"/>
    <w:basedOn w:val="1983"/>
    <w:next w:val="1983"/>
    <w:link w:val="183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832">
    <w:name w:val="Intense Quote Char"/>
    <w:link w:val="1831"/>
    <w:uiPriority w:val="30"/>
    <w:rPr>
      <w:i/>
    </w:rPr>
  </w:style>
  <w:style w:type="paragraph" w:styleId="1833">
    <w:name w:val="Header"/>
    <w:basedOn w:val="1983"/>
    <w:link w:val="183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834">
    <w:name w:val="Header Char"/>
    <w:link w:val="1833"/>
    <w:uiPriority w:val="99"/>
  </w:style>
  <w:style w:type="paragraph" w:styleId="1835">
    <w:name w:val="Footer"/>
    <w:basedOn w:val="1983"/>
    <w:link w:val="183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836">
    <w:name w:val="Footer Char"/>
    <w:link w:val="1835"/>
    <w:uiPriority w:val="99"/>
  </w:style>
  <w:style w:type="paragraph" w:styleId="1837">
    <w:name w:val="Caption"/>
    <w:basedOn w:val="1983"/>
    <w:next w:val="198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1838">
    <w:name w:val="Caption Char"/>
    <w:basedOn w:val="1837"/>
    <w:link w:val="1835"/>
    <w:uiPriority w:val="99"/>
  </w:style>
  <w:style w:type="table" w:styleId="1839">
    <w:name w:val="Table Grid"/>
    <w:basedOn w:val="198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840">
    <w:name w:val="Table Grid Light"/>
    <w:basedOn w:val="198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841">
    <w:name w:val="Plain Table 1"/>
    <w:basedOn w:val="198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842">
    <w:name w:val="Plain Table 2"/>
    <w:basedOn w:val="198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843">
    <w:name w:val="Plain Table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844">
    <w:name w:val="Plain Table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45">
    <w:name w:val="Plain Table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846">
    <w:name w:val="Grid Table 1 Light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47">
    <w:name w:val="Grid Table 1 Light 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48">
    <w:name w:val="Grid Table 1 Light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49">
    <w:name w:val="Grid Table 1 Light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50">
    <w:name w:val="Grid Table 1 Light 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51">
    <w:name w:val="Grid Table 1 Light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52">
    <w:name w:val="Grid Table 1 Light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853">
    <w:name w:val="Grid Table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54">
    <w:name w:val="Grid Table 2 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55">
    <w:name w:val="Grid Table 2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56">
    <w:name w:val="Grid Table 2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57">
    <w:name w:val="Grid Table 2 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58">
    <w:name w:val="Grid Table 2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59">
    <w:name w:val="Grid Table 2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60">
    <w:name w:val="Grid Table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61">
    <w:name w:val="Grid Table 3 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62">
    <w:name w:val="Grid Table 3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63">
    <w:name w:val="Grid Table 3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64">
    <w:name w:val="Grid Table 3 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65">
    <w:name w:val="Grid Table 3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66">
    <w:name w:val="Grid Table 3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67">
    <w:name w:val="Grid Table 4"/>
    <w:basedOn w:val="19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868">
    <w:name w:val="Grid Table 4 - Accent 1"/>
    <w:basedOn w:val="19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1869">
    <w:name w:val="Grid Table 4 - Accent 2"/>
    <w:basedOn w:val="19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1870">
    <w:name w:val="Grid Table 4 - Accent 3"/>
    <w:basedOn w:val="19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1871">
    <w:name w:val="Grid Table 4 - Accent 4"/>
    <w:basedOn w:val="19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1872">
    <w:name w:val="Grid Table 4 - Accent 5"/>
    <w:basedOn w:val="19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1873">
    <w:name w:val="Grid Table 4 - Accent 6"/>
    <w:basedOn w:val="19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1874">
    <w:name w:val="Grid Table 5 Dark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1875">
    <w:name w:val="Grid Table 5 Dark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1876">
    <w:name w:val="Grid Table 5 Dark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1877">
    <w:name w:val="Grid Table 5 Dark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1878">
    <w:name w:val="Grid Table 5 Dark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1879">
    <w:name w:val="Grid Table 5 Dark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1880">
    <w:name w:val="Grid Table 5 Dark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1881">
    <w:name w:val="Grid Table 6 Colorful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1882">
    <w:name w:val="Grid Table 6 Colorful 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1883">
    <w:name w:val="Grid Table 6 Colorful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1884">
    <w:name w:val="Grid Table 6 Colorful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1885">
    <w:name w:val="Grid Table 6 Colorful 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1886">
    <w:name w:val="Grid Table 6 Colorful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887">
    <w:name w:val="Grid Table 6 Colorful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1888">
    <w:name w:val="Grid Table 7 Colorful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89">
    <w:name w:val="Grid Table 7 Colorful 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90">
    <w:name w:val="Grid Table 7 Colorful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91">
    <w:name w:val="Grid Table 7 Colorful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92">
    <w:name w:val="Grid Table 7 Colorful 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93">
    <w:name w:val="Grid Table 7 Colorful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94">
    <w:name w:val="Grid Table 7 Colorful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95">
    <w:name w:val="List Table 1 Light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96">
    <w:name w:val="List Table 1 Light 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97">
    <w:name w:val="List Table 1 Light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98">
    <w:name w:val="List Table 1 Light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899">
    <w:name w:val="List Table 1 Light 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00">
    <w:name w:val="List Table 1 Light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01">
    <w:name w:val="List Table 1 Light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902">
    <w:name w:val="List Table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903">
    <w:name w:val="List Table 2 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904">
    <w:name w:val="List Table 2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905">
    <w:name w:val="List Table 2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906">
    <w:name w:val="List Table 2 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907">
    <w:name w:val="List Table 2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908">
    <w:name w:val="List Table 2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909">
    <w:name w:val="List Table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10">
    <w:name w:val="List Table 3 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11">
    <w:name w:val="List Table 3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12">
    <w:name w:val="List Table 3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13">
    <w:name w:val="List Table 3 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14">
    <w:name w:val="List Table 3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15">
    <w:name w:val="List Table 3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16">
    <w:name w:val="List Table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17">
    <w:name w:val="List Table 4 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18">
    <w:name w:val="List Table 4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19">
    <w:name w:val="List Table 4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20">
    <w:name w:val="List Table 4 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21">
    <w:name w:val="List Table 4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22">
    <w:name w:val="List Table 4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923">
    <w:name w:val="List Table 5 Dark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924">
    <w:name w:val="List Table 5 Dark 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925">
    <w:name w:val="List Table 5 Dark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926">
    <w:name w:val="List Table 5 Dark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927">
    <w:name w:val="List Table 5 Dark 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928">
    <w:name w:val="List Table 5 Dark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929">
    <w:name w:val="List Table 5 Dark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930">
    <w:name w:val="List Table 6 Colorful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931">
    <w:name w:val="List Table 6 Colorful 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932">
    <w:name w:val="List Table 6 Colorful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933">
    <w:name w:val="List Table 6 Colorful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934">
    <w:name w:val="List Table 6 Colorful 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935">
    <w:name w:val="List Table 6 Colorful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936">
    <w:name w:val="List Table 6 Colorful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937">
    <w:name w:val="List Table 7 Colorful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938">
    <w:name w:val="List Table 7 Colorful 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939">
    <w:name w:val="List Table 7 Colorful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940">
    <w:name w:val="List Table 7 Colorful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941">
    <w:name w:val="List Table 7 Colorful 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942">
    <w:name w:val="List Table 7 Colorful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943">
    <w:name w:val="List Table 7 Colorful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944">
    <w:name w:val="Lined - Accent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945">
    <w:name w:val="Lined - Accent 1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946">
    <w:name w:val="Lined - Accent 2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947">
    <w:name w:val="Lined - Accent 3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948">
    <w:name w:val="Lined - Accent 4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949">
    <w:name w:val="Lined - Accent 5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950">
    <w:name w:val="Lined - Accent 6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951">
    <w:name w:val="Bordered &amp; Lined - Accent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952">
    <w:name w:val="Bordered &amp; Lined - Accent 1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953">
    <w:name w:val="Bordered &amp; Lined - Accent 2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954">
    <w:name w:val="Bordered &amp; Lined - Accent 3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955">
    <w:name w:val="Bordered &amp; Lined - Accent 4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956">
    <w:name w:val="Bordered &amp; Lined - Accent 5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957">
    <w:name w:val="Bordered &amp; Lined - Accent 6"/>
    <w:basedOn w:val="19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958">
    <w:name w:val="Bordered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959">
    <w:name w:val="Bordered - Accent 1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960">
    <w:name w:val="Bordered - Accent 2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961">
    <w:name w:val="Bordered - Accent 3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962">
    <w:name w:val="Bordered - Accent 4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963">
    <w:name w:val="Bordered - Accent 5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964">
    <w:name w:val="Bordered - Accent 6"/>
    <w:basedOn w:val="19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965">
    <w:name w:val="Hyperlink"/>
    <w:uiPriority w:val="99"/>
    <w:unhideWhenUsed/>
    <w:rPr>
      <w:color w:val="0000ff" w:themeColor="hyperlink"/>
      <w:u w:val="single"/>
    </w:rPr>
  </w:style>
  <w:style w:type="paragraph" w:styleId="1966">
    <w:name w:val="footnote text"/>
    <w:basedOn w:val="1983"/>
    <w:link w:val="1967"/>
    <w:uiPriority w:val="99"/>
    <w:semiHidden/>
    <w:unhideWhenUsed/>
    <w:pPr>
      <w:spacing w:after="40" w:line="240" w:lineRule="auto"/>
    </w:pPr>
    <w:rPr>
      <w:sz w:val="18"/>
    </w:rPr>
  </w:style>
  <w:style w:type="character" w:styleId="1967">
    <w:name w:val="Footnote Text Char"/>
    <w:link w:val="1966"/>
    <w:uiPriority w:val="99"/>
    <w:rPr>
      <w:sz w:val="18"/>
    </w:rPr>
  </w:style>
  <w:style w:type="character" w:styleId="1968">
    <w:name w:val="footnote reference"/>
    <w:uiPriority w:val="99"/>
    <w:unhideWhenUsed/>
    <w:rPr>
      <w:vertAlign w:val="superscript"/>
    </w:rPr>
  </w:style>
  <w:style w:type="paragraph" w:styleId="1969">
    <w:name w:val="endnote text"/>
    <w:basedOn w:val="1983"/>
    <w:link w:val="1970"/>
    <w:uiPriority w:val="99"/>
    <w:semiHidden/>
    <w:unhideWhenUsed/>
    <w:pPr>
      <w:spacing w:after="0" w:line="240" w:lineRule="auto"/>
    </w:pPr>
    <w:rPr>
      <w:sz w:val="20"/>
    </w:rPr>
  </w:style>
  <w:style w:type="character" w:styleId="1970">
    <w:name w:val="Endnote Text Char"/>
    <w:link w:val="1969"/>
    <w:uiPriority w:val="99"/>
    <w:rPr>
      <w:sz w:val="20"/>
    </w:rPr>
  </w:style>
  <w:style w:type="character" w:styleId="1971">
    <w:name w:val="endnote reference"/>
    <w:uiPriority w:val="99"/>
    <w:semiHidden/>
    <w:unhideWhenUsed/>
    <w:rPr>
      <w:vertAlign w:val="superscript"/>
    </w:rPr>
  </w:style>
  <w:style w:type="paragraph" w:styleId="1972">
    <w:name w:val="toc 1"/>
    <w:basedOn w:val="1983"/>
    <w:next w:val="1983"/>
    <w:uiPriority w:val="39"/>
    <w:unhideWhenUsed/>
    <w:pPr>
      <w:ind w:left="0" w:right="0" w:firstLine="0"/>
      <w:spacing w:after="57"/>
    </w:pPr>
  </w:style>
  <w:style w:type="paragraph" w:styleId="1973">
    <w:name w:val="toc 2"/>
    <w:basedOn w:val="1983"/>
    <w:next w:val="1983"/>
    <w:uiPriority w:val="39"/>
    <w:unhideWhenUsed/>
    <w:pPr>
      <w:ind w:left="283" w:right="0" w:firstLine="0"/>
      <w:spacing w:after="57"/>
    </w:pPr>
  </w:style>
  <w:style w:type="paragraph" w:styleId="1974">
    <w:name w:val="toc 3"/>
    <w:basedOn w:val="1983"/>
    <w:next w:val="1983"/>
    <w:uiPriority w:val="39"/>
    <w:unhideWhenUsed/>
    <w:pPr>
      <w:ind w:left="567" w:right="0" w:firstLine="0"/>
      <w:spacing w:after="57"/>
    </w:pPr>
  </w:style>
  <w:style w:type="paragraph" w:styleId="1975">
    <w:name w:val="toc 4"/>
    <w:basedOn w:val="1983"/>
    <w:next w:val="1983"/>
    <w:uiPriority w:val="39"/>
    <w:unhideWhenUsed/>
    <w:pPr>
      <w:ind w:left="850" w:right="0" w:firstLine="0"/>
      <w:spacing w:after="57"/>
    </w:pPr>
  </w:style>
  <w:style w:type="paragraph" w:styleId="1976">
    <w:name w:val="toc 5"/>
    <w:basedOn w:val="1983"/>
    <w:next w:val="1983"/>
    <w:uiPriority w:val="39"/>
    <w:unhideWhenUsed/>
    <w:pPr>
      <w:ind w:left="1134" w:right="0" w:firstLine="0"/>
      <w:spacing w:after="57"/>
    </w:pPr>
  </w:style>
  <w:style w:type="paragraph" w:styleId="1977">
    <w:name w:val="toc 6"/>
    <w:basedOn w:val="1983"/>
    <w:next w:val="1983"/>
    <w:uiPriority w:val="39"/>
    <w:unhideWhenUsed/>
    <w:pPr>
      <w:ind w:left="1417" w:right="0" w:firstLine="0"/>
      <w:spacing w:after="57"/>
    </w:pPr>
  </w:style>
  <w:style w:type="paragraph" w:styleId="1978">
    <w:name w:val="toc 7"/>
    <w:basedOn w:val="1983"/>
    <w:next w:val="1983"/>
    <w:uiPriority w:val="39"/>
    <w:unhideWhenUsed/>
    <w:pPr>
      <w:ind w:left="1701" w:right="0" w:firstLine="0"/>
      <w:spacing w:after="57"/>
    </w:pPr>
  </w:style>
  <w:style w:type="paragraph" w:styleId="1979">
    <w:name w:val="toc 8"/>
    <w:basedOn w:val="1983"/>
    <w:next w:val="1983"/>
    <w:uiPriority w:val="39"/>
    <w:unhideWhenUsed/>
    <w:pPr>
      <w:ind w:left="1984" w:right="0" w:firstLine="0"/>
      <w:spacing w:after="57"/>
    </w:pPr>
  </w:style>
  <w:style w:type="paragraph" w:styleId="1980">
    <w:name w:val="toc 9"/>
    <w:basedOn w:val="1983"/>
    <w:next w:val="1983"/>
    <w:uiPriority w:val="39"/>
    <w:unhideWhenUsed/>
    <w:pPr>
      <w:ind w:left="2268" w:right="0" w:firstLine="0"/>
      <w:spacing w:after="57"/>
    </w:pPr>
  </w:style>
  <w:style w:type="paragraph" w:styleId="1981">
    <w:name w:val="TOC Heading"/>
    <w:uiPriority w:val="39"/>
    <w:unhideWhenUsed/>
  </w:style>
  <w:style w:type="paragraph" w:styleId="1982">
    <w:name w:val="table of figures"/>
    <w:basedOn w:val="1983"/>
    <w:next w:val="1983"/>
    <w:uiPriority w:val="99"/>
    <w:unhideWhenUsed/>
    <w:pPr>
      <w:spacing w:after="0" w:afterAutospacing="0"/>
    </w:pPr>
  </w:style>
  <w:style w:type="paragraph" w:styleId="1983" w:default="1">
    <w:name w:val="Normal"/>
    <w:qFormat/>
  </w:style>
  <w:style w:type="table" w:styleId="198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985" w:default="1">
    <w:name w:val="No List"/>
    <w:uiPriority w:val="99"/>
    <w:semiHidden/>
    <w:unhideWhenUsed/>
  </w:style>
  <w:style w:type="paragraph" w:styleId="1986">
    <w:name w:val="No Spacing"/>
    <w:basedOn w:val="1983"/>
    <w:uiPriority w:val="1"/>
    <w:qFormat/>
    <w:pPr>
      <w:spacing w:after="0" w:line="240" w:lineRule="auto"/>
    </w:pPr>
  </w:style>
  <w:style w:type="paragraph" w:styleId="1987">
    <w:name w:val="List Paragraph"/>
    <w:basedOn w:val="1983"/>
    <w:uiPriority w:val="34"/>
    <w:qFormat/>
    <w:pPr>
      <w:contextualSpacing/>
      <w:ind w:left="720"/>
    </w:pPr>
  </w:style>
  <w:style w:type="character" w:styleId="1988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glossaryDocument" Target="glossary/document.xml" /><Relationship Id="rId7" Type="http://schemas.openxmlformats.org/officeDocument/2006/relationships/numbering" Target="numbering.xml" /><Relationship Id="rId8" Type="http://schemas.openxmlformats.org/officeDocument/2006/relationships/footnotes" Target="footnotes.xml" /><Relationship Id="rId9" Type="http://schemas.openxmlformats.org/officeDocument/2006/relationships/endnotes" Target="endnote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glossary/_rels/comments.xml.rels><?xml version="1.0" encoding="UTF-8" standalone="yes"?><Relationships xmlns="http://schemas.openxmlformats.org/package/2006/relationships"></Relationships>
</file>

<file path=word/glossary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footnotes" Target="footnotes.xml" /><Relationship Id="rId6" Type="http://schemas.openxmlformats.org/officeDocument/2006/relationships/endnotes" Target="endnotes.xml" /></Relationships>
</file>

<file path=word/glossary/_rels/endnotes.xml.rels><?xml version="1.0" encoding="UTF-8" standalone="yes"?><Relationships xmlns="http://schemas.openxmlformats.org/package/2006/relationships"></Relationships>
</file>

<file path=word/glossary/_rels/footnotes.xml.rels><?xml version="1.0" encoding="UTF-8" standalone="yes"?><Relationships xmlns="http://schemas.openxmlformats.org/package/2006/relationships"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docParts>
    <w:docPart>
      <w:docPartPr>
        <w:name w:val="DefaultPlaceholder_TEXT"/>
        <w:category>
          <w:name w:val="Common"/>
          <w:gallery w:val="placeholder"/>
        </w:category>
        <w:types>
          <w:type w:val="bbPlcHdr"/>
        </w:types>
        <w:behaviors>
          <w:behavior w:val="content"/>
        </w:behaviors>
      </w:docPartPr>
      <w:docPartBody>
        <w:p>
          <w:r>
            <w:t xml:space="preserve">Your text here</w:t>
          </w:r>
          <w:r/>
          <w:r/>
        </w:p>
      </w:docPartBody>
    </w:docPart>
  </w:docParts>
</w:glossaryDocument>
</file>

<file path=word/glossary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glossary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2439" w:default="1">
    <w:name w:val="Normal"/>
    <w:qFormat/>
  </w:style>
  <w:style w:type="character" w:styleId="2440" w:default="1">
    <w:name w:val="Default Paragraph Font"/>
    <w:uiPriority w:val="1"/>
    <w:semiHidden/>
    <w:unhideWhenUsed/>
  </w:style>
  <w:style w:type="numbering" w:styleId="2441" w:default="1">
    <w:name w:val="No List"/>
    <w:uiPriority w:val="99"/>
    <w:semiHidden/>
    <w:unhideWhenUsed/>
  </w:style>
  <w:style w:type="paragraph" w:styleId="2442">
    <w:name w:val="Heading 1"/>
    <w:basedOn w:val="2439"/>
    <w:next w:val="2439"/>
    <w:link w:val="244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2443">
    <w:name w:val="Heading 1 Char"/>
    <w:basedOn w:val="2440"/>
    <w:link w:val="2442"/>
    <w:uiPriority w:val="9"/>
    <w:rPr>
      <w:rFonts w:ascii="Arial" w:hAnsi="Arial" w:eastAsia="Arial" w:cs="Arial"/>
      <w:sz w:val="40"/>
      <w:szCs w:val="40"/>
    </w:rPr>
  </w:style>
  <w:style w:type="paragraph" w:styleId="2444">
    <w:name w:val="Heading 2"/>
    <w:basedOn w:val="2439"/>
    <w:next w:val="2439"/>
    <w:link w:val="244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2445">
    <w:name w:val="Heading 2 Char"/>
    <w:basedOn w:val="2440"/>
    <w:link w:val="2444"/>
    <w:uiPriority w:val="9"/>
    <w:rPr>
      <w:rFonts w:ascii="Arial" w:hAnsi="Arial" w:eastAsia="Arial" w:cs="Arial"/>
      <w:sz w:val="34"/>
    </w:rPr>
  </w:style>
  <w:style w:type="paragraph" w:styleId="2446">
    <w:name w:val="Heading 3"/>
    <w:basedOn w:val="2439"/>
    <w:next w:val="2439"/>
    <w:link w:val="244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2447">
    <w:name w:val="Heading 3 Char"/>
    <w:basedOn w:val="2440"/>
    <w:link w:val="2446"/>
    <w:uiPriority w:val="9"/>
    <w:rPr>
      <w:rFonts w:ascii="Arial" w:hAnsi="Arial" w:eastAsia="Arial" w:cs="Arial"/>
      <w:sz w:val="30"/>
      <w:szCs w:val="30"/>
    </w:rPr>
  </w:style>
  <w:style w:type="paragraph" w:styleId="2448">
    <w:name w:val="Heading 4"/>
    <w:basedOn w:val="2439"/>
    <w:next w:val="2439"/>
    <w:link w:val="244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449">
    <w:name w:val="Heading 4 Char"/>
    <w:basedOn w:val="2440"/>
    <w:link w:val="2448"/>
    <w:uiPriority w:val="9"/>
    <w:rPr>
      <w:rFonts w:ascii="Arial" w:hAnsi="Arial" w:eastAsia="Arial" w:cs="Arial"/>
      <w:b/>
      <w:bCs/>
      <w:sz w:val="26"/>
      <w:szCs w:val="26"/>
    </w:rPr>
  </w:style>
  <w:style w:type="paragraph" w:styleId="2450">
    <w:name w:val="Heading 5"/>
    <w:basedOn w:val="2439"/>
    <w:next w:val="2439"/>
    <w:link w:val="245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451">
    <w:name w:val="Heading 5 Char"/>
    <w:basedOn w:val="2440"/>
    <w:link w:val="2450"/>
    <w:uiPriority w:val="9"/>
    <w:rPr>
      <w:rFonts w:ascii="Arial" w:hAnsi="Arial" w:eastAsia="Arial" w:cs="Arial"/>
      <w:b/>
      <w:bCs/>
      <w:sz w:val="24"/>
      <w:szCs w:val="24"/>
    </w:rPr>
  </w:style>
  <w:style w:type="paragraph" w:styleId="2452">
    <w:name w:val="Heading 6"/>
    <w:basedOn w:val="2439"/>
    <w:next w:val="2439"/>
    <w:link w:val="245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53">
    <w:name w:val="Heading 6 Char"/>
    <w:basedOn w:val="2440"/>
    <w:link w:val="2452"/>
    <w:uiPriority w:val="9"/>
    <w:rPr>
      <w:rFonts w:ascii="Arial" w:hAnsi="Arial" w:eastAsia="Arial" w:cs="Arial"/>
      <w:b/>
      <w:bCs/>
      <w:sz w:val="22"/>
      <w:szCs w:val="22"/>
    </w:rPr>
  </w:style>
  <w:style w:type="paragraph" w:styleId="2454">
    <w:name w:val="Heading 7"/>
    <w:basedOn w:val="2439"/>
    <w:next w:val="2439"/>
    <w:link w:val="245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455">
    <w:name w:val="Heading 7 Char"/>
    <w:basedOn w:val="2440"/>
    <w:link w:val="245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456">
    <w:name w:val="Heading 8"/>
    <w:basedOn w:val="2439"/>
    <w:next w:val="2439"/>
    <w:link w:val="245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457">
    <w:name w:val="Heading 8 Char"/>
    <w:basedOn w:val="2440"/>
    <w:link w:val="2456"/>
    <w:uiPriority w:val="9"/>
    <w:rPr>
      <w:rFonts w:ascii="Arial" w:hAnsi="Arial" w:eastAsia="Arial" w:cs="Arial"/>
      <w:i/>
      <w:iCs/>
      <w:sz w:val="22"/>
      <w:szCs w:val="22"/>
    </w:rPr>
  </w:style>
  <w:style w:type="paragraph" w:styleId="2458">
    <w:name w:val="Heading 9"/>
    <w:basedOn w:val="2439"/>
    <w:next w:val="2439"/>
    <w:link w:val="245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459">
    <w:name w:val="Heading 9 Char"/>
    <w:basedOn w:val="2440"/>
    <w:link w:val="2458"/>
    <w:uiPriority w:val="9"/>
    <w:rPr>
      <w:rFonts w:ascii="Arial" w:hAnsi="Arial" w:eastAsia="Arial" w:cs="Arial"/>
      <w:i/>
      <w:iCs/>
      <w:sz w:val="21"/>
      <w:szCs w:val="21"/>
    </w:rPr>
  </w:style>
  <w:style w:type="paragraph" w:styleId="2460">
    <w:name w:val="List Paragraph"/>
    <w:basedOn w:val="2439"/>
    <w:uiPriority w:val="34"/>
    <w:qFormat/>
    <w:pPr>
      <w:contextualSpacing/>
      <w:ind w:left="720"/>
    </w:pPr>
  </w:style>
  <w:style w:type="table" w:styleId="246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2462">
    <w:name w:val="No Spacing"/>
    <w:uiPriority w:val="1"/>
    <w:qFormat/>
    <w:pPr>
      <w:spacing w:before="0" w:after="0" w:line="240" w:lineRule="auto"/>
    </w:pPr>
  </w:style>
  <w:style w:type="paragraph" w:styleId="2463">
    <w:name w:val="Title"/>
    <w:basedOn w:val="2439"/>
    <w:next w:val="2439"/>
    <w:link w:val="246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2464">
    <w:name w:val="Title Char"/>
    <w:basedOn w:val="2440"/>
    <w:link w:val="2463"/>
    <w:uiPriority w:val="10"/>
    <w:rPr>
      <w:sz w:val="48"/>
      <w:szCs w:val="48"/>
    </w:rPr>
  </w:style>
  <w:style w:type="paragraph" w:styleId="2465">
    <w:name w:val="Subtitle"/>
    <w:basedOn w:val="2439"/>
    <w:next w:val="2439"/>
    <w:link w:val="2466"/>
    <w:uiPriority w:val="11"/>
    <w:qFormat/>
    <w:pPr>
      <w:spacing w:before="200" w:after="200"/>
    </w:pPr>
    <w:rPr>
      <w:sz w:val="24"/>
      <w:szCs w:val="24"/>
    </w:rPr>
  </w:style>
  <w:style w:type="character" w:styleId="2466">
    <w:name w:val="Subtitle Char"/>
    <w:basedOn w:val="2440"/>
    <w:link w:val="2465"/>
    <w:uiPriority w:val="11"/>
    <w:rPr>
      <w:sz w:val="24"/>
      <w:szCs w:val="24"/>
    </w:rPr>
  </w:style>
  <w:style w:type="paragraph" w:styleId="2467">
    <w:name w:val="Quote"/>
    <w:basedOn w:val="2439"/>
    <w:next w:val="2439"/>
    <w:link w:val="2468"/>
    <w:uiPriority w:val="29"/>
    <w:qFormat/>
    <w:pPr>
      <w:ind w:left="720" w:right="720"/>
    </w:pPr>
    <w:rPr>
      <w:i/>
    </w:rPr>
  </w:style>
  <w:style w:type="character" w:styleId="2468">
    <w:name w:val="Quote Char"/>
    <w:link w:val="2467"/>
    <w:uiPriority w:val="29"/>
    <w:rPr>
      <w:i/>
    </w:rPr>
  </w:style>
  <w:style w:type="paragraph" w:styleId="2469">
    <w:name w:val="Intense Quote"/>
    <w:basedOn w:val="2439"/>
    <w:next w:val="2439"/>
    <w:link w:val="247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2470">
    <w:name w:val="Intense Quote Char"/>
    <w:link w:val="2469"/>
    <w:uiPriority w:val="30"/>
    <w:rPr>
      <w:i/>
    </w:rPr>
  </w:style>
  <w:style w:type="paragraph" w:styleId="2471">
    <w:name w:val="Header"/>
    <w:basedOn w:val="2439"/>
    <w:link w:val="247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2472">
    <w:name w:val="Header Char"/>
    <w:basedOn w:val="2440"/>
    <w:link w:val="2471"/>
    <w:uiPriority w:val="99"/>
  </w:style>
  <w:style w:type="paragraph" w:styleId="2473">
    <w:name w:val="Footer"/>
    <w:basedOn w:val="2439"/>
    <w:link w:val="247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2474">
    <w:name w:val="Footer Char"/>
    <w:basedOn w:val="2440"/>
    <w:link w:val="2473"/>
    <w:uiPriority w:val="99"/>
  </w:style>
  <w:style w:type="paragraph" w:styleId="2475">
    <w:name w:val="Caption"/>
    <w:basedOn w:val="2439"/>
    <w:next w:val="243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2476">
    <w:name w:val="Caption Char"/>
    <w:basedOn w:val="2475"/>
    <w:link w:val="2473"/>
    <w:uiPriority w:val="99"/>
  </w:style>
  <w:style w:type="table" w:styleId="2477">
    <w:name w:val="Table Grid"/>
    <w:basedOn w:val="246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2478">
    <w:name w:val="Table Grid Light"/>
    <w:basedOn w:val="24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2479">
    <w:name w:val="Plain Table 1"/>
    <w:basedOn w:val="246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2480">
    <w:name w:val="Plain Table 2"/>
    <w:basedOn w:val="246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2481">
    <w:name w:val="Plain Table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2482">
    <w:name w:val="Plain Table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483">
    <w:name w:val="Plain Table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2484">
    <w:name w:val="Grid Table 1 Light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485">
    <w:name w:val="Grid Table 1 Light 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486">
    <w:name w:val="Grid Table 1 Light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487">
    <w:name w:val="Grid Table 1 Light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488">
    <w:name w:val="Grid Table 1 Light 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489">
    <w:name w:val="Grid Table 1 Light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490">
    <w:name w:val="Grid Table 1 Light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491">
    <w:name w:val="Grid Table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492">
    <w:name w:val="Grid Table 2 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493">
    <w:name w:val="Grid Table 2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494">
    <w:name w:val="Grid Table 2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495">
    <w:name w:val="Grid Table 2 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496">
    <w:name w:val="Grid Table 2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497">
    <w:name w:val="Grid Table 2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498">
    <w:name w:val="Grid Table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499">
    <w:name w:val="Grid Table 3 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00">
    <w:name w:val="Grid Table 3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01">
    <w:name w:val="Grid Table 3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02">
    <w:name w:val="Grid Table 3 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03">
    <w:name w:val="Grid Table 3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04">
    <w:name w:val="Grid Table 3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05">
    <w:name w:val="Grid Table 4"/>
    <w:basedOn w:val="24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2506">
    <w:name w:val="Grid Table 4 - Accent 1"/>
    <w:basedOn w:val="24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2507">
    <w:name w:val="Grid Table 4 - Accent 2"/>
    <w:basedOn w:val="24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2508">
    <w:name w:val="Grid Table 4 - Accent 3"/>
    <w:basedOn w:val="24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2509">
    <w:name w:val="Grid Table 4 - Accent 4"/>
    <w:basedOn w:val="24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2510">
    <w:name w:val="Grid Table 4 - Accent 5"/>
    <w:basedOn w:val="24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2511">
    <w:name w:val="Grid Table 4 - Accent 6"/>
    <w:basedOn w:val="246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2512">
    <w:name w:val="Grid Table 5 Dark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2513">
    <w:name w:val="Grid Table 5 Dark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2514">
    <w:name w:val="Grid Table 5 Dark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2515">
    <w:name w:val="Grid Table 5 Dark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2516">
    <w:name w:val="Grid Table 5 Dark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2517">
    <w:name w:val="Grid Table 5 Dark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2518">
    <w:name w:val="Grid Table 5 Dark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2519">
    <w:name w:val="Grid Table 6 Colorful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2520">
    <w:name w:val="Grid Table 6 Colorful 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2521">
    <w:name w:val="Grid Table 6 Colorful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2522">
    <w:name w:val="Grid Table 6 Colorful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2523">
    <w:name w:val="Grid Table 6 Colorful 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2524">
    <w:name w:val="Grid Table 6 Colorful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2525">
    <w:name w:val="Grid Table 6 Colorful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2526">
    <w:name w:val="Grid Table 7 Colorful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27">
    <w:name w:val="Grid Table 7 Colorful 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28">
    <w:name w:val="Grid Table 7 Colorful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29">
    <w:name w:val="Grid Table 7 Colorful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30">
    <w:name w:val="Grid Table 7 Colorful 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31">
    <w:name w:val="Grid Table 7 Colorful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32">
    <w:name w:val="Grid Table 7 Colorful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33">
    <w:name w:val="List Table 1 Light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34">
    <w:name w:val="List Table 1 Light 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35">
    <w:name w:val="List Table 1 Light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36">
    <w:name w:val="List Table 1 Light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37">
    <w:name w:val="List Table 1 Light 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38">
    <w:name w:val="List Table 1 Light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39">
    <w:name w:val="List Table 1 Light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2540">
    <w:name w:val="List Table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2541">
    <w:name w:val="List Table 2 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2542">
    <w:name w:val="List Table 2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2543">
    <w:name w:val="List Table 2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2544">
    <w:name w:val="List Table 2 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2545">
    <w:name w:val="List Table 2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2546">
    <w:name w:val="List Table 2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2547">
    <w:name w:val="List Table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48">
    <w:name w:val="List Table 3 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49">
    <w:name w:val="List Table 3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50">
    <w:name w:val="List Table 3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51">
    <w:name w:val="List Table 3 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52">
    <w:name w:val="List Table 3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53">
    <w:name w:val="List Table 3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54">
    <w:name w:val="List Table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55">
    <w:name w:val="List Table 4 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56">
    <w:name w:val="List Table 4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57">
    <w:name w:val="List Table 4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58">
    <w:name w:val="List Table 4 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59">
    <w:name w:val="List Table 4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60">
    <w:name w:val="List Table 4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2561">
    <w:name w:val="List Table 5 Dark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562">
    <w:name w:val="List Table 5 Dark 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563">
    <w:name w:val="List Table 5 Dark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564">
    <w:name w:val="List Table 5 Dark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565">
    <w:name w:val="List Table 5 Dark 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566">
    <w:name w:val="List Table 5 Dark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567">
    <w:name w:val="List Table 5 Dark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2568">
    <w:name w:val="List Table 6 Colorful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2569">
    <w:name w:val="List Table 6 Colorful 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2570">
    <w:name w:val="List Table 6 Colorful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2571">
    <w:name w:val="List Table 6 Colorful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2572">
    <w:name w:val="List Table 6 Colorful 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2573">
    <w:name w:val="List Table 6 Colorful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2574">
    <w:name w:val="List Table 6 Colorful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2575">
    <w:name w:val="List Table 7 Colorful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2576">
    <w:name w:val="List Table 7 Colorful 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2577">
    <w:name w:val="List Table 7 Colorful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2578">
    <w:name w:val="List Table 7 Colorful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2579">
    <w:name w:val="List Table 7 Colorful 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2580">
    <w:name w:val="List Table 7 Colorful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2581">
    <w:name w:val="List Table 7 Colorful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2582">
    <w:name w:val="Lined - Accent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2583">
    <w:name w:val="Lined - Accent 1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2584">
    <w:name w:val="Lined - Accent 2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2585">
    <w:name w:val="Lined - Accent 3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2586">
    <w:name w:val="Lined - Accent 4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2587">
    <w:name w:val="Lined - Accent 5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2588">
    <w:name w:val="Lined - Accent 6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2589">
    <w:name w:val="Bordered &amp; Lined - Accent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2590">
    <w:name w:val="Bordered &amp; Lined - Accent 1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2591">
    <w:name w:val="Bordered &amp; Lined - Accent 2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2592">
    <w:name w:val="Bordered &amp; Lined - Accent 3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2593">
    <w:name w:val="Bordered &amp; Lined - Accent 4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2594">
    <w:name w:val="Bordered &amp; Lined - Accent 5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2595">
    <w:name w:val="Bordered &amp; Lined - Accent 6"/>
    <w:basedOn w:val="246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2596">
    <w:name w:val="Bordered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2597">
    <w:name w:val="Bordered - Accent 1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2598">
    <w:name w:val="Bordered - Accent 2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2599">
    <w:name w:val="Bordered - Accent 3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2600">
    <w:name w:val="Bordered - Accent 4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2601">
    <w:name w:val="Bordered - Accent 5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2602">
    <w:name w:val="Bordered - Accent 6"/>
    <w:basedOn w:val="246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2603">
    <w:name w:val="Hyperlink"/>
    <w:uiPriority w:val="99"/>
    <w:unhideWhenUsed/>
    <w:rPr>
      <w:color w:val="0000ff" w:themeColor="hyperlink"/>
      <w:u w:val="single"/>
    </w:rPr>
  </w:style>
  <w:style w:type="paragraph" w:styleId="2604">
    <w:name w:val="footnote text"/>
    <w:basedOn w:val="2439"/>
    <w:link w:val="2605"/>
    <w:uiPriority w:val="99"/>
    <w:semiHidden/>
    <w:unhideWhenUsed/>
    <w:pPr>
      <w:spacing w:after="40" w:line="240" w:lineRule="auto"/>
    </w:pPr>
    <w:rPr>
      <w:sz w:val="18"/>
    </w:rPr>
  </w:style>
  <w:style w:type="character" w:styleId="2605">
    <w:name w:val="Footnote Text Char"/>
    <w:link w:val="2604"/>
    <w:uiPriority w:val="99"/>
    <w:rPr>
      <w:sz w:val="18"/>
    </w:rPr>
  </w:style>
  <w:style w:type="character" w:styleId="2606">
    <w:name w:val="footnote reference"/>
    <w:basedOn w:val="2440"/>
    <w:uiPriority w:val="99"/>
    <w:unhideWhenUsed/>
    <w:rPr>
      <w:vertAlign w:val="superscript"/>
    </w:rPr>
  </w:style>
  <w:style w:type="paragraph" w:styleId="2607">
    <w:name w:val="endnote text"/>
    <w:basedOn w:val="2439"/>
    <w:link w:val="2608"/>
    <w:uiPriority w:val="99"/>
    <w:semiHidden/>
    <w:unhideWhenUsed/>
    <w:pPr>
      <w:spacing w:after="0" w:line="240" w:lineRule="auto"/>
    </w:pPr>
    <w:rPr>
      <w:sz w:val="20"/>
    </w:rPr>
  </w:style>
  <w:style w:type="character" w:styleId="2608">
    <w:name w:val="Endnote Text Char"/>
    <w:link w:val="2607"/>
    <w:uiPriority w:val="99"/>
    <w:rPr>
      <w:sz w:val="20"/>
    </w:rPr>
  </w:style>
  <w:style w:type="character" w:styleId="2609">
    <w:name w:val="endnote reference"/>
    <w:basedOn w:val="2440"/>
    <w:uiPriority w:val="99"/>
    <w:semiHidden/>
    <w:unhideWhenUsed/>
    <w:rPr>
      <w:vertAlign w:val="superscript"/>
    </w:rPr>
  </w:style>
  <w:style w:type="paragraph" w:styleId="2610">
    <w:name w:val="toc 1"/>
    <w:basedOn w:val="2439"/>
    <w:next w:val="2439"/>
    <w:uiPriority w:val="39"/>
    <w:unhideWhenUsed/>
    <w:pPr>
      <w:ind w:left="0" w:right="0" w:firstLine="0"/>
      <w:spacing w:after="57"/>
    </w:pPr>
  </w:style>
  <w:style w:type="paragraph" w:styleId="2611">
    <w:name w:val="toc 2"/>
    <w:basedOn w:val="2439"/>
    <w:next w:val="2439"/>
    <w:uiPriority w:val="39"/>
    <w:unhideWhenUsed/>
    <w:pPr>
      <w:ind w:left="283" w:right="0" w:firstLine="0"/>
      <w:spacing w:after="57"/>
    </w:pPr>
  </w:style>
  <w:style w:type="paragraph" w:styleId="2612">
    <w:name w:val="toc 3"/>
    <w:basedOn w:val="2439"/>
    <w:next w:val="2439"/>
    <w:uiPriority w:val="39"/>
    <w:unhideWhenUsed/>
    <w:pPr>
      <w:ind w:left="567" w:right="0" w:firstLine="0"/>
      <w:spacing w:after="57"/>
    </w:pPr>
  </w:style>
  <w:style w:type="paragraph" w:styleId="2613">
    <w:name w:val="toc 4"/>
    <w:basedOn w:val="2439"/>
    <w:next w:val="2439"/>
    <w:uiPriority w:val="39"/>
    <w:unhideWhenUsed/>
    <w:pPr>
      <w:ind w:left="850" w:right="0" w:firstLine="0"/>
      <w:spacing w:after="57"/>
    </w:pPr>
  </w:style>
  <w:style w:type="paragraph" w:styleId="2614">
    <w:name w:val="toc 5"/>
    <w:basedOn w:val="2439"/>
    <w:next w:val="2439"/>
    <w:uiPriority w:val="39"/>
    <w:unhideWhenUsed/>
    <w:pPr>
      <w:ind w:left="1134" w:right="0" w:firstLine="0"/>
      <w:spacing w:after="57"/>
    </w:pPr>
  </w:style>
  <w:style w:type="paragraph" w:styleId="2615">
    <w:name w:val="toc 6"/>
    <w:basedOn w:val="2439"/>
    <w:next w:val="2439"/>
    <w:uiPriority w:val="39"/>
    <w:unhideWhenUsed/>
    <w:pPr>
      <w:ind w:left="1417" w:right="0" w:firstLine="0"/>
      <w:spacing w:after="57"/>
    </w:pPr>
  </w:style>
  <w:style w:type="paragraph" w:styleId="2616">
    <w:name w:val="toc 7"/>
    <w:basedOn w:val="2439"/>
    <w:next w:val="2439"/>
    <w:uiPriority w:val="39"/>
    <w:unhideWhenUsed/>
    <w:pPr>
      <w:ind w:left="1701" w:right="0" w:firstLine="0"/>
      <w:spacing w:after="57"/>
    </w:pPr>
  </w:style>
  <w:style w:type="paragraph" w:styleId="2617">
    <w:name w:val="toc 8"/>
    <w:basedOn w:val="2439"/>
    <w:next w:val="2439"/>
    <w:uiPriority w:val="39"/>
    <w:unhideWhenUsed/>
    <w:pPr>
      <w:ind w:left="1984" w:right="0" w:firstLine="0"/>
      <w:spacing w:after="57"/>
    </w:pPr>
  </w:style>
  <w:style w:type="paragraph" w:styleId="2618">
    <w:name w:val="toc 9"/>
    <w:basedOn w:val="2439"/>
    <w:next w:val="2439"/>
    <w:uiPriority w:val="39"/>
    <w:unhideWhenUsed/>
    <w:pPr>
      <w:ind w:left="2268" w:right="0" w:firstLine="0"/>
      <w:spacing w:after="57"/>
    </w:pPr>
  </w:style>
  <w:style w:type="paragraph" w:styleId="2619">
    <w:name w:val="TOC Heading"/>
    <w:uiPriority w:val="39"/>
    <w:unhideWhenUsed/>
  </w:style>
  <w:style w:type="paragraph" w:styleId="2620">
    <w:name w:val="table of figures"/>
    <w:basedOn w:val="2439"/>
    <w:next w:val="2439"/>
    <w:uiPriority w:val="99"/>
    <w:unhideWhenUsed/>
    <w:pPr>
      <w:spacing w:after="0" w:afterAutospacing="0"/>
    </w:pPr>
  </w:style>
</w:styles>
</file>

<file path=word/glossary/webSettings.xml><?xml version="1.0" encoding="utf-8"?>
<w:webSettings xmlns:w="http://schemas.openxmlformats.org/wordprocessingml/2006/main">
  <w:optimizeForBrowser/>
</w:webSetting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ONLYOFFICE/7.3.0.184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8</cp:revision>
  <dcterms:modified xsi:type="dcterms:W3CDTF">2025-09-13T08:34:39Z</dcterms:modified>
</cp:coreProperties>
</file>